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C37595">
        <w:rPr>
          <w:rFonts w:ascii="Arial" w:eastAsia="宋体" w:hAnsi="Arial" w:cs="Arial"/>
          <w:b/>
          <w:sz w:val="24"/>
          <w:lang w:val="en-GB" w:eastAsia="ko-KR"/>
        </w:rPr>
        <w:t>6</w:t>
      </w:r>
      <w:r w:rsidR="008F62CF">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C37595">
        <w:rPr>
          <w:rFonts w:ascii="Arial" w:eastAsia="宋体" w:hAnsi="Arial" w:cs="Arial"/>
          <w:b/>
          <w:sz w:val="24"/>
          <w:lang w:val="en-GB" w:eastAsia="ko-KR"/>
        </w:rPr>
        <w:t>30</w:t>
      </w:r>
      <w:r w:rsidR="00675388">
        <w:rPr>
          <w:rFonts w:ascii="Arial" w:eastAsia="宋体" w:hAnsi="Arial" w:cs="Arial"/>
          <w:b/>
          <w:sz w:val="24"/>
          <w:lang w:val="en-GB"/>
        </w:rPr>
        <w:t>4763</w:t>
      </w:r>
    </w:p>
    <w:p w:rsidR="00A44F96" w:rsidRPr="00B40311" w:rsidRDefault="008F62CF"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F855B9">
        <w:rPr>
          <w:rFonts w:ascii="Arial" w:eastAsia="宋体" w:hAnsi="Arial" w:cs="Arial"/>
          <w:b/>
          <w:sz w:val="24"/>
          <w:lang w:val="en-GB" w:eastAsia="ko-KR"/>
        </w:rPr>
        <w:t>P</w:t>
      </w:r>
      <w:r w:rsidR="00F855B9" w:rsidRPr="00C032FD">
        <w:rPr>
          <w:rFonts w:ascii="Arial" w:eastAsia="宋体" w:hAnsi="Arial" w:cs="Arial"/>
          <w:b/>
          <w:sz w:val="24"/>
          <w:lang w:val="en-GB" w:eastAsia="ko-KR"/>
        </w:rPr>
        <w:t>re-MG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675388" w:rsidRPr="00675388">
        <w:rPr>
          <w:rFonts w:ascii="Arial" w:eastAsia="宋体" w:hAnsi="Arial" w:cs="Arial"/>
          <w:b/>
          <w:sz w:val="24"/>
          <w:lang w:val="en-GB"/>
        </w:rPr>
        <w:t>5</w:t>
      </w:r>
      <w:r w:rsidR="003A4170" w:rsidRPr="00675388">
        <w:rPr>
          <w:rFonts w:ascii="Arial" w:eastAsia="宋体" w:hAnsi="Arial" w:cs="Arial"/>
          <w:b/>
          <w:sz w:val="24"/>
          <w:lang w:val="en-GB"/>
        </w:rPr>
        <w:t>.1</w:t>
      </w:r>
      <w:r w:rsidR="00C032FD" w:rsidRPr="00675388">
        <w:rPr>
          <w:rFonts w:ascii="Arial" w:eastAsia="宋体" w:hAnsi="Arial" w:cs="Arial"/>
          <w:b/>
          <w:sz w:val="24"/>
          <w:lang w:val="en-GB"/>
        </w:rPr>
        <w:t>0</w:t>
      </w:r>
      <w:r w:rsidRPr="00675388">
        <w:rPr>
          <w:rFonts w:ascii="Arial" w:eastAsia="宋体" w:hAnsi="Arial" w:cs="Arial" w:hint="eastAsia"/>
          <w:b/>
          <w:sz w:val="24"/>
          <w:lang w:val="en-GB"/>
        </w:rPr>
        <w:t>.</w:t>
      </w:r>
      <w:r w:rsidRPr="00675388">
        <w:rPr>
          <w:rFonts w:ascii="Arial" w:eastAsia="宋体" w:hAnsi="Arial" w:cs="Arial"/>
          <w:b/>
          <w:sz w:val="24"/>
          <w:lang w:val="en-GB"/>
        </w:rPr>
        <w:t>2</w:t>
      </w:r>
      <w:r w:rsidR="00652D79" w:rsidRPr="00675388">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D320A">
        <w:rPr>
          <w:rFonts w:ascii="Times New Roman" w:hAnsi="Times New Roman" w:cs="Times New Roman"/>
          <w:sz w:val="20"/>
          <w:szCs w:val="20"/>
        </w:rPr>
        <w:t>4</w:t>
      </w:r>
      <w:r w:rsidR="00F301DE">
        <w:rPr>
          <w:rFonts w:ascii="Times New Roman" w:hAnsi="Times New Roman" w:cs="Times New Roman"/>
          <w:sz w:val="20"/>
          <w:szCs w:val="20"/>
        </w:rPr>
        <w:t>#</w:t>
      </w:r>
      <w:r w:rsidR="00DD320A">
        <w:rPr>
          <w:rFonts w:ascii="Times New Roman" w:hAnsi="Times New Roman" w:cs="Times New Roman"/>
          <w:sz w:val="20"/>
          <w:szCs w:val="20"/>
        </w:rPr>
        <w:t>10</w:t>
      </w:r>
      <w:r w:rsidR="008F62CF">
        <w:rPr>
          <w:rFonts w:ascii="Times New Roman" w:hAnsi="Times New Roman" w:cs="Times New Roman"/>
          <w:sz w:val="20"/>
          <w:szCs w:val="20"/>
        </w:rPr>
        <w:t>6</w:t>
      </w:r>
      <w:r>
        <w:rPr>
          <w:rFonts w:ascii="Times New Roman" w:hAnsi="Times New Roman" w:cs="Times New Roman"/>
          <w:sz w:val="20"/>
          <w:szCs w:val="20"/>
        </w:rPr>
        <w:t xml:space="preserve"> meeting, </w:t>
      </w:r>
      <w:r w:rsidR="00C77557">
        <w:rPr>
          <w:rFonts w:ascii="Times New Roman" w:hAnsi="Times New Roman" w:cs="Times New Roman"/>
          <w:sz w:val="20"/>
          <w:szCs w:val="20"/>
        </w:rPr>
        <w:t>RAN</w:t>
      </w:r>
      <w:r w:rsidR="00DD320A">
        <w:rPr>
          <w:rFonts w:ascii="Times New Roman" w:hAnsi="Times New Roman" w:cs="Times New Roman"/>
          <w:sz w:val="20"/>
          <w:szCs w:val="20"/>
        </w:rPr>
        <w:t>4 had some discussion</w:t>
      </w:r>
      <w:r w:rsidR="00D652BD">
        <w:rPr>
          <w:rFonts w:ascii="Times New Roman" w:hAnsi="Times New Roman" w:cs="Times New Roman"/>
          <w:sz w:val="20"/>
          <w:szCs w:val="20"/>
        </w:rPr>
        <w:t xml:space="preserve"> on RRM requirements for </w:t>
      </w:r>
      <w:r w:rsidR="008F62CF">
        <w:rPr>
          <w:rFonts w:ascii="Times New Roman" w:hAnsi="Times New Roman" w:cs="Times New Roman"/>
          <w:sz w:val="20"/>
          <w:szCs w:val="20"/>
        </w:rPr>
        <w:t xml:space="preserve">case 1 when </w:t>
      </w:r>
      <w:r w:rsidR="00D652BD">
        <w:rPr>
          <w:rFonts w:ascii="Times New Roman" w:hAnsi="Times New Roman" w:cs="Times New Roman"/>
          <w:sz w:val="20"/>
          <w:szCs w:val="20"/>
        </w:rPr>
        <w:t xml:space="preserve">UE </w:t>
      </w:r>
      <w:r w:rsidR="008F62CF">
        <w:rPr>
          <w:rFonts w:ascii="Times New Roman" w:hAnsi="Times New Roman" w:cs="Times New Roman"/>
          <w:sz w:val="20"/>
          <w:szCs w:val="20"/>
        </w:rPr>
        <w:t xml:space="preserve">is </w:t>
      </w:r>
      <w:r w:rsidR="00D652BD">
        <w:rPr>
          <w:rFonts w:ascii="Times New Roman" w:hAnsi="Times New Roman" w:cs="Times New Roman"/>
          <w:sz w:val="20"/>
          <w:szCs w:val="20"/>
        </w:rPr>
        <w:t>configured with a combinati</w:t>
      </w:r>
      <w:r w:rsidR="00942EEE">
        <w:rPr>
          <w:rFonts w:ascii="Times New Roman" w:hAnsi="Times New Roman" w:cs="Times New Roman"/>
          <w:sz w:val="20"/>
          <w:szCs w:val="20"/>
        </w:rPr>
        <w:t>on of pre-configured MG</w:t>
      </w:r>
      <w:r w:rsidR="00D05181">
        <w:rPr>
          <w:rFonts w:ascii="Times New Roman" w:hAnsi="Times New Roman" w:cs="Times New Roman"/>
          <w:sz w:val="20"/>
          <w:szCs w:val="20"/>
        </w:rPr>
        <w:t xml:space="preserve"> and</w:t>
      </w:r>
      <w:r w:rsidR="00D652BD">
        <w:rPr>
          <w:rFonts w:ascii="Times New Roman" w:hAnsi="Times New Roman" w:cs="Times New Roman"/>
          <w:sz w:val="20"/>
          <w:szCs w:val="20"/>
        </w:rPr>
        <w:t xml:space="preserve"> </w:t>
      </w:r>
      <w:r w:rsidR="00D05181">
        <w:rPr>
          <w:rFonts w:ascii="Times New Roman" w:hAnsi="Times New Roman" w:cs="Times New Roman"/>
          <w:sz w:val="20"/>
          <w:szCs w:val="20"/>
        </w:rPr>
        <w:t>concurrent MG</w:t>
      </w:r>
      <w:r w:rsidR="00DD320A">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D554C9" w:rsidRDefault="000D163E" w:rsidP="008F62CF">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p w:rsidR="0032084C" w:rsidRPr="0032084C" w:rsidRDefault="0032084C" w:rsidP="0032084C">
      <w:pPr>
        <w:rPr>
          <w:rFonts w:ascii="Times New Roman" w:hAnsi="Times New Roman" w:cs="Times New Roman"/>
          <w:sz w:val="16"/>
          <w:u w:val="single"/>
          <w:lang w:val="en-GB"/>
        </w:rPr>
      </w:pPr>
      <w:r w:rsidRPr="0032084C">
        <w:rPr>
          <w:rFonts w:ascii="Times New Roman" w:hAnsi="Times New Roman" w:cs="Times New Roman"/>
          <w:b/>
          <w:bCs/>
          <w:sz w:val="20"/>
          <w:szCs w:val="24"/>
          <w:u w:val="single"/>
        </w:rPr>
        <w:t>Pre-MGs activation/deactivation procedure</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832714" w:rsidRPr="00832714" w:rsidRDefault="00832714" w:rsidP="00FC4D5F">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832714">
              <w:rPr>
                <w:rFonts w:ascii="Times New Roman" w:hAnsi="Times New Roman" w:cs="Times New Roman"/>
                <w:b w:val="0"/>
                <w:bCs w:val="0"/>
                <w:sz w:val="20"/>
                <w:szCs w:val="20"/>
                <w:u w:val="single"/>
              </w:rPr>
              <w:t>Issue 3-2-1: [Case 1] Define definitions for simultaneous and non-simultaneous Pre-MGs activation/deactivation for Pre-MG + Pre-MG</w:t>
            </w:r>
            <w:r w:rsidRPr="00832714">
              <w:rPr>
                <w:rFonts w:ascii="Times New Roman" w:hAnsi="Times New Roman" w:cs="Times New Roman"/>
                <w:b w:val="0"/>
                <w:bCs w:val="0"/>
                <w:sz w:val="20"/>
                <w:szCs w:val="20"/>
              </w:rPr>
              <w:t xml:space="preserve">  </w:t>
            </w:r>
          </w:p>
          <w:p w:rsidR="00832714" w:rsidRPr="00832714" w:rsidRDefault="00832714" w:rsidP="00FC4D5F">
            <w:pPr>
              <w:snapToGrid w:val="0"/>
              <w:spacing w:afterLines="50" w:after="156"/>
              <w:ind w:leftChars="200" w:left="420"/>
              <w:rPr>
                <w:rFonts w:ascii="Times New Roman" w:hAnsi="Times New Roman" w:cs="Times New Roman"/>
                <w:sz w:val="20"/>
                <w:szCs w:val="20"/>
              </w:rPr>
            </w:pPr>
            <w:r w:rsidRPr="00832714">
              <w:rPr>
                <w:rFonts w:ascii="Times New Roman" w:hAnsi="Times New Roman" w:cs="Times New Roman"/>
                <w:b/>
                <w:sz w:val="20"/>
                <w:szCs w:val="20"/>
              </w:rPr>
              <w:t>&lt; Agreement &gt;</w:t>
            </w:r>
            <w:r w:rsidRPr="00832714">
              <w:rPr>
                <w:rFonts w:ascii="Times New Roman" w:hAnsi="Times New Roman" w:cs="Times New Roman"/>
                <w:sz w:val="20"/>
                <w:szCs w:val="20"/>
              </w:rPr>
              <w:t xml:space="preserve">:  </w:t>
            </w:r>
          </w:p>
          <w:p w:rsidR="00832714" w:rsidRPr="00832714" w:rsidRDefault="00832714" w:rsidP="00832714">
            <w:pPr>
              <w:pStyle w:val="a7"/>
              <w:numPr>
                <w:ilvl w:val="1"/>
                <w:numId w:val="44"/>
              </w:numPr>
              <w:spacing w:after="120"/>
              <w:ind w:left="1440"/>
              <w:contextualSpacing w:val="0"/>
              <w:rPr>
                <w:sz w:val="20"/>
                <w:szCs w:val="20"/>
                <w:lang w:eastAsia="zh-CN"/>
              </w:rPr>
            </w:pPr>
            <w:r w:rsidRPr="00832714">
              <w:rPr>
                <w:sz w:val="20"/>
                <w:szCs w:val="20"/>
                <w:lang w:eastAsia="zh-CN"/>
              </w:rPr>
              <w:t>Definitions for simultaneous and non-simultaneous multiple Pre-MGs activation/deactivation</w:t>
            </w:r>
          </w:p>
          <w:p w:rsidR="00832714" w:rsidRPr="00832714" w:rsidRDefault="00832714" w:rsidP="00832714">
            <w:pPr>
              <w:pStyle w:val="a7"/>
              <w:numPr>
                <w:ilvl w:val="2"/>
                <w:numId w:val="44"/>
              </w:numPr>
              <w:spacing w:after="120"/>
              <w:ind w:left="1800"/>
              <w:contextualSpacing w:val="0"/>
              <w:rPr>
                <w:sz w:val="20"/>
                <w:szCs w:val="20"/>
                <w:lang w:eastAsia="zh-CN"/>
              </w:rPr>
            </w:pPr>
            <w:r w:rsidRPr="00832714">
              <w:rPr>
                <w:sz w:val="20"/>
                <w:szCs w:val="20"/>
                <w:lang w:eastAsia="zh-CN"/>
              </w:rPr>
              <w:t>In simultaneous case, the multiple Pre-MGs activation/deactivation duration are fully or partially overlapping (before any potential delay extension) in time.</w:t>
            </w:r>
          </w:p>
          <w:p w:rsidR="00832714" w:rsidRPr="00832714" w:rsidRDefault="00832714" w:rsidP="00832714">
            <w:pPr>
              <w:pStyle w:val="a7"/>
              <w:numPr>
                <w:ilvl w:val="2"/>
                <w:numId w:val="44"/>
              </w:numPr>
              <w:spacing w:after="120"/>
              <w:ind w:left="1800"/>
              <w:contextualSpacing w:val="0"/>
              <w:rPr>
                <w:sz w:val="20"/>
                <w:szCs w:val="20"/>
                <w:lang w:eastAsia="zh-CN"/>
              </w:rPr>
            </w:pPr>
            <w:r w:rsidRPr="00832714">
              <w:rPr>
                <w:sz w:val="20"/>
                <w:szCs w:val="20"/>
                <w:lang w:eastAsia="zh-CN"/>
              </w:rPr>
              <w:t>In non-simultaneous case, the multiple Pre-MGs activation/deactivation duration are not overlapping (before any potential delay extension) in time.</w:t>
            </w:r>
          </w:p>
          <w:p w:rsidR="00F54C38" w:rsidRDefault="00832714" w:rsidP="00FC4D5F">
            <w:pPr>
              <w:pStyle w:val="a7"/>
              <w:numPr>
                <w:ilvl w:val="2"/>
                <w:numId w:val="44"/>
              </w:numPr>
              <w:spacing w:after="120"/>
              <w:ind w:left="1800"/>
              <w:contextualSpacing w:val="0"/>
              <w:rPr>
                <w:sz w:val="20"/>
                <w:szCs w:val="20"/>
                <w:lang w:eastAsia="zh-CN"/>
              </w:rPr>
            </w:pPr>
            <w:r w:rsidRPr="00832714">
              <w:rPr>
                <w:sz w:val="20"/>
                <w:szCs w:val="20"/>
                <w:lang w:eastAsia="zh-CN"/>
              </w:rPr>
              <w:t>FFS the requirements, e.g., triggered by the same or different commands.</w:t>
            </w:r>
          </w:p>
          <w:p w:rsidR="00FC4D5F" w:rsidRPr="00FC4D5F" w:rsidRDefault="00FC4D5F" w:rsidP="00FC4D5F">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FC4D5F">
              <w:rPr>
                <w:rFonts w:ascii="Times New Roman" w:hAnsi="Times New Roman" w:cs="Times New Roman"/>
                <w:b w:val="0"/>
                <w:bCs w:val="0"/>
                <w:sz w:val="20"/>
                <w:szCs w:val="20"/>
                <w:u w:val="single"/>
              </w:rPr>
              <w:t>Issue 3-2-4: [Case 1] Whether to extend the delay for simultaneous activation/deactivation for Pre-MG+Pre-MG</w:t>
            </w:r>
            <w:r w:rsidRPr="00FC4D5F">
              <w:rPr>
                <w:rFonts w:ascii="Times New Roman" w:hAnsi="Times New Roman" w:cs="Times New Roman"/>
                <w:b w:val="0"/>
                <w:bCs w:val="0"/>
                <w:sz w:val="20"/>
                <w:szCs w:val="20"/>
              </w:rPr>
              <w:t xml:space="preserve">  </w:t>
            </w:r>
          </w:p>
          <w:p w:rsidR="00FC4D5F" w:rsidRPr="00FC4D5F" w:rsidRDefault="00FC4D5F" w:rsidP="00FC4D5F">
            <w:pPr>
              <w:snapToGrid w:val="0"/>
              <w:spacing w:afterLines="50" w:after="156"/>
              <w:ind w:leftChars="200" w:left="420"/>
              <w:rPr>
                <w:rFonts w:ascii="Times New Roman" w:hAnsi="Times New Roman" w:cs="Times New Roman"/>
                <w:b/>
                <w:sz w:val="20"/>
                <w:szCs w:val="20"/>
              </w:rPr>
            </w:pPr>
            <w:r w:rsidRPr="00FC4D5F">
              <w:rPr>
                <w:rFonts w:ascii="Times New Roman" w:hAnsi="Times New Roman" w:cs="Times New Roman"/>
                <w:b/>
                <w:sz w:val="20"/>
                <w:szCs w:val="20"/>
              </w:rPr>
              <w:t xml:space="preserve">&lt; Wayforward &gt;:  </w:t>
            </w:r>
          </w:p>
          <w:p w:rsidR="00FC4D5F" w:rsidRPr="00FC4D5F" w:rsidRDefault="00FC4D5F" w:rsidP="00FC4D5F">
            <w:pPr>
              <w:pStyle w:val="a7"/>
              <w:numPr>
                <w:ilvl w:val="0"/>
                <w:numId w:val="42"/>
              </w:numPr>
              <w:spacing w:after="180"/>
              <w:contextualSpacing w:val="0"/>
              <w:rPr>
                <w:sz w:val="20"/>
                <w:szCs w:val="20"/>
                <w:lang w:eastAsia="zh-CN"/>
              </w:rPr>
            </w:pPr>
            <w:r w:rsidRPr="00FC4D5F">
              <w:rPr>
                <w:sz w:val="20"/>
                <w:szCs w:val="20"/>
                <w:lang w:eastAsia="zh-CN"/>
              </w:rPr>
              <w:t>FFS.</w:t>
            </w:r>
          </w:p>
          <w:p w:rsidR="00FC4D5F" w:rsidRPr="00FC4D5F" w:rsidRDefault="00FC4D5F" w:rsidP="00FC4D5F">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FC4D5F">
              <w:rPr>
                <w:rFonts w:ascii="Times New Roman" w:hAnsi="Times New Roman" w:cs="Times New Roman"/>
                <w:b w:val="0"/>
                <w:bCs w:val="0"/>
                <w:sz w:val="20"/>
                <w:szCs w:val="20"/>
                <w:u w:val="single"/>
              </w:rPr>
              <w:t>Issue 3-2-5: [Case 1] Whether to extend the delay for non-simultaneous activation/deactivation for Pre-MG+Pre-MG</w:t>
            </w:r>
            <w:r w:rsidRPr="00FC4D5F">
              <w:rPr>
                <w:rFonts w:ascii="Times New Roman" w:hAnsi="Times New Roman" w:cs="Times New Roman"/>
                <w:b w:val="0"/>
                <w:bCs w:val="0"/>
                <w:sz w:val="20"/>
                <w:szCs w:val="20"/>
              </w:rPr>
              <w:t xml:space="preserve">  </w:t>
            </w:r>
          </w:p>
          <w:p w:rsidR="00FC4D5F" w:rsidRPr="00FC4D5F" w:rsidRDefault="00FC4D5F" w:rsidP="00FC4D5F">
            <w:pPr>
              <w:snapToGrid w:val="0"/>
              <w:spacing w:afterLines="50" w:after="156"/>
              <w:ind w:leftChars="200" w:left="420"/>
              <w:rPr>
                <w:rFonts w:ascii="Times New Roman" w:hAnsi="Times New Roman" w:cs="Times New Roman"/>
                <w:b/>
                <w:sz w:val="20"/>
                <w:szCs w:val="20"/>
              </w:rPr>
            </w:pPr>
            <w:r w:rsidRPr="00FC4D5F">
              <w:rPr>
                <w:rFonts w:ascii="Times New Roman" w:hAnsi="Times New Roman" w:cs="Times New Roman"/>
                <w:b/>
                <w:sz w:val="20"/>
                <w:szCs w:val="20"/>
              </w:rPr>
              <w:t xml:space="preserve">&lt; Agreement &gt;:  </w:t>
            </w:r>
          </w:p>
          <w:p w:rsidR="00FC4D5F" w:rsidRPr="00FC4D5F" w:rsidRDefault="00FC4D5F" w:rsidP="00FC4D5F">
            <w:pPr>
              <w:pStyle w:val="a7"/>
              <w:numPr>
                <w:ilvl w:val="0"/>
                <w:numId w:val="42"/>
              </w:numPr>
              <w:contextualSpacing w:val="0"/>
              <w:rPr>
                <w:lang w:eastAsia="zh-CN"/>
              </w:rPr>
            </w:pPr>
            <w:r w:rsidRPr="00FC4D5F">
              <w:rPr>
                <w:sz w:val="20"/>
                <w:szCs w:val="20"/>
                <w:lang w:eastAsia="zh-CN"/>
              </w:rPr>
              <w:t>For the non-simultaneous two Pre-MGs activation/deactivation case, the existing Rel-17 Pre-MG (de)activation delay requirements can be reused.</w:t>
            </w:r>
          </w:p>
        </w:tc>
      </w:tr>
    </w:tbl>
    <w:p w:rsidR="00C0113C" w:rsidRPr="00BC22E2" w:rsidRDefault="00FC4D5F" w:rsidP="00E7199D">
      <w:pPr>
        <w:rPr>
          <w:rFonts w:ascii="Times New Roman" w:hAnsi="Times New Roman" w:cs="Times New Roman"/>
          <w:sz w:val="20"/>
          <w:szCs w:val="20"/>
        </w:rPr>
      </w:pPr>
      <w:r>
        <w:rPr>
          <w:rFonts w:ascii="Times New Roman" w:hAnsi="Times New Roman" w:cs="Times New Roman"/>
          <w:sz w:val="20"/>
          <w:szCs w:val="20"/>
          <w:lang w:val="en-GB"/>
        </w:rPr>
        <w:t>In last meeting</w:t>
      </w:r>
      <w:r w:rsidR="00630344">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RAN4 was agreed the definition of the simultaneous and non-simultaneous Pre-MGs </w:t>
      </w:r>
      <w:r>
        <w:rPr>
          <w:rFonts w:ascii="Times New Roman" w:hAnsi="Times New Roman" w:cs="Times New Roman"/>
          <w:sz w:val="20"/>
          <w:szCs w:val="20"/>
          <w:lang w:val="en-GB"/>
        </w:rPr>
        <w:lastRenderedPageBreak/>
        <w:t xml:space="preserve">activation/deactivation. </w:t>
      </w:r>
      <w:r w:rsidR="00CB4315">
        <w:rPr>
          <w:rFonts w:ascii="Times New Roman" w:hAnsi="Times New Roman" w:cs="Times New Roman"/>
          <w:sz w:val="20"/>
          <w:szCs w:val="20"/>
          <w:lang w:val="en-GB"/>
        </w:rPr>
        <w:t>F</w:t>
      </w:r>
      <w:r w:rsidRPr="00FC4D5F">
        <w:rPr>
          <w:rFonts w:ascii="Times New Roman" w:hAnsi="Times New Roman" w:cs="Times New Roman"/>
          <w:sz w:val="20"/>
          <w:szCs w:val="20"/>
        </w:rPr>
        <w:t>or the non-simultaneous two Pre-MGs activation/deactivation case, the existing Rel-17 Pre-MG (de)activation delay requirements can be reused</w:t>
      </w:r>
      <w:r>
        <w:rPr>
          <w:rFonts w:ascii="Times New Roman" w:hAnsi="Times New Roman" w:cs="Times New Roman"/>
          <w:sz w:val="20"/>
          <w:szCs w:val="20"/>
        </w:rPr>
        <w:t xml:space="preserve">. </w:t>
      </w:r>
      <w:r w:rsidR="00CB4315">
        <w:rPr>
          <w:rFonts w:ascii="Times New Roman" w:hAnsi="Times New Roman" w:cs="Times New Roman"/>
          <w:sz w:val="20"/>
          <w:szCs w:val="20"/>
        </w:rPr>
        <w:t xml:space="preserve">And for the simultaneous case, the multiple pre-MGs can be triggered by the same command or different commands. If the multiple pre-MGs are triggered by the same command, as shown in figure 1, the </w:t>
      </w:r>
      <w:r w:rsidR="00CB4315" w:rsidRPr="00FC4D5F">
        <w:rPr>
          <w:rFonts w:ascii="Times New Roman" w:hAnsi="Times New Roman" w:cs="Times New Roman"/>
          <w:sz w:val="20"/>
          <w:szCs w:val="20"/>
        </w:rPr>
        <w:t>existing Rel-17 Pre-MG (de)activation delay requirements can be reused</w:t>
      </w:r>
      <w:r w:rsidR="00417042">
        <w:rPr>
          <w:rFonts w:ascii="Times New Roman" w:hAnsi="Times New Roman" w:cs="Times New Roman"/>
          <w:sz w:val="20"/>
          <w:szCs w:val="20"/>
        </w:rPr>
        <w:t xml:space="preserve"> for both pre-MG#1 and pre-MG#2</w:t>
      </w:r>
      <w:r w:rsidR="00CB4315">
        <w:rPr>
          <w:rFonts w:ascii="Times New Roman" w:hAnsi="Times New Roman" w:cs="Times New Roman"/>
          <w:sz w:val="20"/>
          <w:szCs w:val="20"/>
        </w:rPr>
        <w:t xml:space="preserve">. </w:t>
      </w:r>
      <w:r w:rsidR="00920079">
        <w:rPr>
          <w:rFonts w:ascii="Times New Roman" w:hAnsi="Times New Roman" w:cs="Times New Roman"/>
          <w:sz w:val="20"/>
          <w:szCs w:val="20"/>
        </w:rPr>
        <w:t xml:space="preserve">If the multiple pre-MGs are triggered by different commands and </w:t>
      </w:r>
      <w:r w:rsidR="00BC22E2">
        <w:rPr>
          <w:rFonts w:ascii="Times New Roman" w:hAnsi="Times New Roman" w:cs="Times New Roman"/>
          <w:sz w:val="20"/>
          <w:szCs w:val="20"/>
        </w:rPr>
        <w:t xml:space="preserve">if </w:t>
      </w:r>
      <w:r w:rsidR="00920079">
        <w:rPr>
          <w:rFonts w:ascii="Times New Roman" w:hAnsi="Times New Roman" w:cs="Times New Roman"/>
          <w:sz w:val="20"/>
          <w:szCs w:val="20"/>
        </w:rPr>
        <w:t>the later trigger command does not change the status of pre-MG#1,</w:t>
      </w:r>
      <w:r w:rsidR="00BC22E2">
        <w:rPr>
          <w:rFonts w:ascii="Times New Roman" w:hAnsi="Times New Roman" w:cs="Times New Roman"/>
          <w:sz w:val="20"/>
          <w:szCs w:val="20"/>
        </w:rPr>
        <w:t xml:space="preserve"> as shown in figure 2.</w:t>
      </w:r>
      <w:r w:rsidR="00920079">
        <w:rPr>
          <w:rFonts w:ascii="Times New Roman" w:hAnsi="Times New Roman" w:cs="Times New Roman"/>
          <w:sz w:val="20"/>
          <w:szCs w:val="20"/>
        </w:rPr>
        <w:t xml:space="preserve"> </w:t>
      </w:r>
      <w:r w:rsidR="00BC22E2">
        <w:rPr>
          <w:rFonts w:ascii="Times New Roman" w:hAnsi="Times New Roman" w:cs="Times New Roman"/>
          <w:sz w:val="20"/>
          <w:szCs w:val="20"/>
        </w:rPr>
        <w:t>However, the (de)activation of pre-MG#1 would be impacted by the (de)activation of pre-MG#2, and the (de)activation delay of pre-MG#1 may be extended by Xms. If the multiple pre-MGs are triggered by different commands and if the later trigger command change the status of pre-MG#1,</w:t>
      </w:r>
      <w:r w:rsidR="00E7199D">
        <w:rPr>
          <w:rFonts w:ascii="Times New Roman" w:hAnsi="Times New Roman" w:cs="Times New Roman"/>
          <w:sz w:val="20"/>
          <w:szCs w:val="20"/>
        </w:rPr>
        <w:t xml:space="preserve"> as shown in figure 3</w:t>
      </w:r>
      <w:r w:rsidR="00BC22E2">
        <w:rPr>
          <w:rFonts w:ascii="Times New Roman" w:hAnsi="Times New Roman" w:cs="Times New Roman"/>
          <w:sz w:val="20"/>
          <w:szCs w:val="20"/>
        </w:rPr>
        <w:t>.</w:t>
      </w:r>
      <w:r w:rsidR="00E7199D">
        <w:rPr>
          <w:rFonts w:ascii="Times New Roman" w:hAnsi="Times New Roman" w:cs="Times New Roman"/>
          <w:sz w:val="20"/>
          <w:szCs w:val="20"/>
        </w:rPr>
        <w:t xml:space="preserve"> Pre-MG#1 needs to restart the (de)activation, and the (de)activation delay for pre-MG#1 will be extended by Yms, where Y is the time gap between two trigger commands.</w:t>
      </w:r>
    </w:p>
    <w:p w:rsidR="00CB4315" w:rsidRDefault="00832714" w:rsidP="00CB4315">
      <w:pPr>
        <w:keepNext/>
        <w:spacing w:after="240"/>
      </w:pPr>
      <w:r>
        <w:object w:dxaOrig="10760" w:dyaOrig="6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252pt" o:ole="">
            <v:imagedata r:id="rId8" o:title=""/>
          </v:shape>
          <o:OLEObject Type="Embed" ProgID="Visio.Drawing.15" ShapeID="_x0000_i1025" DrawAspect="Content" ObjectID="_1742663681" r:id="rId9"/>
        </w:object>
      </w:r>
    </w:p>
    <w:p w:rsidR="00832714" w:rsidRPr="0060276A" w:rsidRDefault="00CB4315" w:rsidP="0060276A">
      <w:pPr>
        <w:pStyle w:val="aa"/>
        <w:jc w:val="center"/>
        <w:rPr>
          <w:rFonts w:ascii="Times New Roman" w:hAnsi="Times New Roman" w:cs="Times New Roman"/>
        </w:rPr>
      </w:pPr>
      <w:r w:rsidRPr="00CB4315">
        <w:rPr>
          <w:rFonts w:ascii="Times New Roman" w:hAnsi="Times New Roman" w:cs="Times New Roman"/>
        </w:rPr>
        <w:t xml:space="preserve">Figure </w:t>
      </w:r>
      <w:r w:rsidRPr="00CB4315">
        <w:rPr>
          <w:rFonts w:ascii="Times New Roman" w:hAnsi="Times New Roman" w:cs="Times New Roman"/>
        </w:rPr>
        <w:fldChar w:fldCharType="begin"/>
      </w:r>
      <w:r w:rsidRPr="00CB4315">
        <w:rPr>
          <w:rFonts w:ascii="Times New Roman" w:hAnsi="Times New Roman" w:cs="Times New Roman"/>
        </w:rPr>
        <w:instrText xml:space="preserve"> SEQ Figure \* ARABIC </w:instrText>
      </w:r>
      <w:r w:rsidRPr="00CB4315">
        <w:rPr>
          <w:rFonts w:ascii="Times New Roman" w:hAnsi="Times New Roman" w:cs="Times New Roman"/>
        </w:rPr>
        <w:fldChar w:fldCharType="separate"/>
      </w:r>
      <w:r w:rsidR="00ED724C">
        <w:rPr>
          <w:rFonts w:ascii="Times New Roman" w:hAnsi="Times New Roman" w:cs="Times New Roman"/>
          <w:noProof/>
        </w:rPr>
        <w:t>1</w:t>
      </w:r>
      <w:r w:rsidRPr="00CB4315">
        <w:rPr>
          <w:rFonts w:ascii="Times New Roman" w:hAnsi="Times New Roman" w:cs="Times New Roman"/>
        </w:rPr>
        <w:fldChar w:fldCharType="end"/>
      </w:r>
      <w:r w:rsidRPr="00CB4315">
        <w:rPr>
          <w:rFonts w:ascii="Times New Roman" w:hAnsi="Times New Roman" w:cs="Times New Roman"/>
        </w:rPr>
        <w:t xml:space="preserve">: Example of simultaneous </w:t>
      </w:r>
      <w:r w:rsidR="00E854C9">
        <w:rPr>
          <w:rFonts w:ascii="Times New Roman" w:hAnsi="Times New Roman" w:cs="Times New Roman"/>
        </w:rPr>
        <w:t>(de)</w:t>
      </w:r>
      <w:r w:rsidRPr="00CB4315">
        <w:rPr>
          <w:rFonts w:ascii="Times New Roman" w:hAnsi="Times New Roman" w:cs="Times New Roman"/>
        </w:rPr>
        <w:t>activation by the same trigger command</w:t>
      </w:r>
    </w:p>
    <w:p w:rsidR="00CB4315" w:rsidRDefault="0060276A" w:rsidP="00CB4315">
      <w:pPr>
        <w:keepNext/>
        <w:spacing w:after="240"/>
      </w:pPr>
      <w:r>
        <w:object w:dxaOrig="12421" w:dyaOrig="7750">
          <v:shape id="_x0000_i1026" type="#_x0000_t75" style="width:391.45pt;height:244.7pt" o:ole="">
            <v:imagedata r:id="rId10" o:title=""/>
          </v:shape>
          <o:OLEObject Type="Embed" ProgID="Visio.Drawing.15" ShapeID="_x0000_i1026" DrawAspect="Content" ObjectID="_1742663682" r:id="rId11"/>
        </w:object>
      </w:r>
    </w:p>
    <w:p w:rsidR="00832714" w:rsidRDefault="00CB4315" w:rsidP="0060276A">
      <w:pPr>
        <w:pStyle w:val="aa"/>
        <w:jc w:val="center"/>
      </w:pPr>
      <w:r w:rsidRPr="00CB4315">
        <w:rPr>
          <w:rFonts w:ascii="Times New Roman" w:hAnsi="Times New Roman" w:cs="Times New Roman"/>
        </w:rPr>
        <w:t xml:space="preserve">Figure </w:t>
      </w:r>
      <w:r w:rsidRPr="00CB4315">
        <w:rPr>
          <w:rFonts w:ascii="Times New Roman" w:hAnsi="Times New Roman" w:cs="Times New Roman"/>
        </w:rPr>
        <w:fldChar w:fldCharType="begin"/>
      </w:r>
      <w:r w:rsidRPr="00CB4315">
        <w:rPr>
          <w:rFonts w:ascii="Times New Roman" w:hAnsi="Times New Roman" w:cs="Times New Roman"/>
        </w:rPr>
        <w:instrText xml:space="preserve"> SEQ Figure \* ARABIC </w:instrText>
      </w:r>
      <w:r w:rsidRPr="00CB4315">
        <w:rPr>
          <w:rFonts w:ascii="Times New Roman" w:hAnsi="Times New Roman" w:cs="Times New Roman"/>
        </w:rPr>
        <w:fldChar w:fldCharType="separate"/>
      </w:r>
      <w:r w:rsidR="00ED724C">
        <w:rPr>
          <w:rFonts w:ascii="Times New Roman" w:hAnsi="Times New Roman" w:cs="Times New Roman"/>
          <w:noProof/>
        </w:rPr>
        <w:t>2</w:t>
      </w:r>
      <w:r w:rsidRPr="00CB4315">
        <w:rPr>
          <w:rFonts w:ascii="Times New Roman" w:hAnsi="Times New Roman" w:cs="Times New Roman"/>
        </w:rPr>
        <w:fldChar w:fldCharType="end"/>
      </w:r>
      <w:r w:rsidRPr="00CB4315">
        <w:rPr>
          <w:rFonts w:ascii="Times New Roman" w:hAnsi="Times New Roman" w:cs="Times New Roman"/>
        </w:rPr>
        <w:t xml:space="preserve">: Example of simultaneous </w:t>
      </w:r>
      <w:r w:rsidR="00E854C9">
        <w:rPr>
          <w:rFonts w:ascii="Times New Roman" w:hAnsi="Times New Roman" w:cs="Times New Roman"/>
        </w:rPr>
        <w:t>(de)</w:t>
      </w:r>
      <w:r w:rsidRPr="00CB4315">
        <w:rPr>
          <w:rFonts w:ascii="Times New Roman" w:hAnsi="Times New Roman" w:cs="Times New Roman"/>
        </w:rPr>
        <w:t xml:space="preserve">activation by the </w:t>
      </w:r>
      <w:r>
        <w:rPr>
          <w:rFonts w:ascii="Times New Roman" w:hAnsi="Times New Roman" w:cs="Times New Roman"/>
        </w:rPr>
        <w:t>different</w:t>
      </w:r>
      <w:r w:rsidRPr="00CB4315">
        <w:rPr>
          <w:rFonts w:ascii="Times New Roman" w:hAnsi="Times New Roman" w:cs="Times New Roman"/>
        </w:rPr>
        <w:t xml:space="preserve"> trigger command</w:t>
      </w:r>
      <w:r>
        <w:rPr>
          <w:rFonts w:ascii="Times New Roman" w:hAnsi="Times New Roman" w:cs="Times New Roman"/>
        </w:rPr>
        <w:t>s</w:t>
      </w:r>
      <w:r w:rsidR="004C6A6A">
        <w:rPr>
          <w:rFonts w:ascii="Times New Roman" w:hAnsi="Times New Roman" w:cs="Times New Roman"/>
        </w:rPr>
        <w:t>, and the later trigger command does not impact the pre-MG being (de)activated</w:t>
      </w:r>
    </w:p>
    <w:p w:rsidR="004C6A6A" w:rsidRDefault="0060276A" w:rsidP="004C6A6A">
      <w:pPr>
        <w:keepNext/>
        <w:spacing w:after="240"/>
      </w:pPr>
      <w:r>
        <w:object w:dxaOrig="12421" w:dyaOrig="7841">
          <v:shape id="_x0000_i1027" type="#_x0000_t75" style="width:391.45pt;height:247.45pt" o:ole="">
            <v:imagedata r:id="rId12" o:title=""/>
          </v:shape>
          <o:OLEObject Type="Embed" ProgID="Visio.Drawing.15" ShapeID="_x0000_i1027" DrawAspect="Content" ObjectID="_1742663683" r:id="rId13"/>
        </w:object>
      </w:r>
    </w:p>
    <w:p w:rsidR="00832714" w:rsidRDefault="004C6A6A" w:rsidP="004C6A6A">
      <w:pPr>
        <w:pStyle w:val="aa"/>
        <w:jc w:val="center"/>
      </w:pPr>
      <w:r w:rsidRPr="004C6A6A">
        <w:rPr>
          <w:rFonts w:ascii="Times New Roman" w:hAnsi="Times New Roman" w:cs="Times New Roman"/>
        </w:rPr>
        <w:t xml:space="preserve">Figure </w:t>
      </w:r>
      <w:r w:rsidRPr="004C6A6A">
        <w:rPr>
          <w:rFonts w:ascii="Times New Roman" w:hAnsi="Times New Roman" w:cs="Times New Roman"/>
        </w:rPr>
        <w:fldChar w:fldCharType="begin"/>
      </w:r>
      <w:r w:rsidRPr="004C6A6A">
        <w:rPr>
          <w:rFonts w:ascii="Times New Roman" w:hAnsi="Times New Roman" w:cs="Times New Roman"/>
        </w:rPr>
        <w:instrText xml:space="preserve"> SEQ Figure \* ARABIC </w:instrText>
      </w:r>
      <w:r w:rsidRPr="004C6A6A">
        <w:rPr>
          <w:rFonts w:ascii="Times New Roman" w:hAnsi="Times New Roman" w:cs="Times New Roman"/>
        </w:rPr>
        <w:fldChar w:fldCharType="separate"/>
      </w:r>
      <w:r w:rsidR="00ED724C">
        <w:rPr>
          <w:rFonts w:ascii="Times New Roman" w:hAnsi="Times New Roman" w:cs="Times New Roman"/>
          <w:noProof/>
        </w:rPr>
        <w:t>3</w:t>
      </w:r>
      <w:r w:rsidRPr="004C6A6A">
        <w:rPr>
          <w:rFonts w:ascii="Times New Roman" w:hAnsi="Times New Roman" w:cs="Times New Roman"/>
        </w:rPr>
        <w:fldChar w:fldCharType="end"/>
      </w:r>
      <w:r w:rsidRPr="004C6A6A">
        <w:rPr>
          <w:rFonts w:ascii="Times New Roman" w:hAnsi="Times New Roman" w:cs="Times New Roman"/>
        </w:rPr>
        <w:t xml:space="preserve">: </w:t>
      </w:r>
      <w:r w:rsidRPr="00CB4315">
        <w:rPr>
          <w:rFonts w:ascii="Times New Roman" w:hAnsi="Times New Roman" w:cs="Times New Roman"/>
        </w:rPr>
        <w:t xml:space="preserve">Example of simultaneous </w:t>
      </w:r>
      <w:r w:rsidR="00E854C9">
        <w:rPr>
          <w:rFonts w:ascii="Times New Roman" w:hAnsi="Times New Roman" w:cs="Times New Roman"/>
        </w:rPr>
        <w:t>(de)</w:t>
      </w:r>
      <w:r w:rsidRPr="00CB4315">
        <w:rPr>
          <w:rFonts w:ascii="Times New Roman" w:hAnsi="Times New Roman" w:cs="Times New Roman"/>
        </w:rPr>
        <w:t xml:space="preserve">activation by the </w:t>
      </w:r>
      <w:r>
        <w:rPr>
          <w:rFonts w:ascii="Times New Roman" w:hAnsi="Times New Roman" w:cs="Times New Roman"/>
        </w:rPr>
        <w:t>different</w:t>
      </w:r>
      <w:r w:rsidRPr="00CB4315">
        <w:rPr>
          <w:rFonts w:ascii="Times New Roman" w:hAnsi="Times New Roman" w:cs="Times New Roman"/>
        </w:rPr>
        <w:t xml:space="preserve"> trigger command</w:t>
      </w:r>
      <w:r>
        <w:rPr>
          <w:rFonts w:ascii="Times New Roman" w:hAnsi="Times New Roman" w:cs="Times New Roman"/>
        </w:rPr>
        <w:t>s, and the later trigger command impact the pre-MG being (de)activated</w:t>
      </w:r>
    </w:p>
    <w:p w:rsidR="00E854C9" w:rsidRDefault="00E854C9" w:rsidP="00E854C9">
      <w:pPr>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984AD8">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E854C9">
        <w:rPr>
          <w:rFonts w:ascii="Times New Roman" w:hAnsi="Times New Roman" w:cs="Times New Roman"/>
          <w:b/>
          <w:sz w:val="20"/>
          <w:szCs w:val="20"/>
          <w:lang w:val="en-GB"/>
        </w:rPr>
        <w:t>simultaneous</w:t>
      </w:r>
      <w:r>
        <w:rPr>
          <w:rFonts w:ascii="Times New Roman" w:hAnsi="Times New Roman" w:cs="Times New Roman"/>
          <w:b/>
          <w:sz w:val="20"/>
          <w:szCs w:val="20"/>
          <w:lang w:val="en-GB"/>
        </w:rPr>
        <w:t xml:space="preserve"> activation/deactivation of multiple pre-MGs</w:t>
      </w:r>
      <w:r w:rsidRPr="006546C9">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 xml:space="preserve">activation/deactivation delay is defined as follows: </w:t>
      </w:r>
    </w:p>
    <w:p w:rsidR="00E854C9" w:rsidRDefault="00E854C9" w:rsidP="00E854C9">
      <w:pPr>
        <w:pStyle w:val="a7"/>
        <w:numPr>
          <w:ilvl w:val="0"/>
          <w:numId w:val="45"/>
        </w:numPr>
        <w:spacing w:after="240"/>
        <w:rPr>
          <w:rFonts w:eastAsiaTheme="minorEastAsia"/>
          <w:b/>
          <w:kern w:val="2"/>
          <w:sz w:val="20"/>
          <w:szCs w:val="20"/>
          <w:lang w:val="en-GB" w:eastAsia="zh-CN"/>
        </w:rPr>
      </w:pPr>
      <w:r w:rsidRPr="00E854C9">
        <w:rPr>
          <w:rFonts w:eastAsiaTheme="minorEastAsia"/>
          <w:b/>
          <w:kern w:val="2"/>
          <w:sz w:val="20"/>
          <w:szCs w:val="20"/>
          <w:lang w:val="en-GB" w:eastAsia="zh-CN"/>
        </w:rPr>
        <w:t>If th</w:t>
      </w:r>
      <w:r>
        <w:rPr>
          <w:rFonts w:eastAsiaTheme="minorEastAsia"/>
          <w:b/>
          <w:kern w:val="2"/>
          <w:sz w:val="20"/>
          <w:szCs w:val="20"/>
          <w:lang w:val="en-GB" w:eastAsia="zh-CN"/>
        </w:rPr>
        <w:t>e</w:t>
      </w:r>
      <w:r w:rsidRPr="00E854C9">
        <w:rPr>
          <w:rFonts w:eastAsiaTheme="minorEastAsia"/>
          <w:b/>
          <w:kern w:val="2"/>
          <w:sz w:val="20"/>
          <w:szCs w:val="20"/>
          <w:lang w:val="en-GB" w:eastAsia="zh-CN"/>
        </w:rPr>
        <w:t xml:space="preserve"> multiple pre-MGs are triggered by the same command,</w:t>
      </w:r>
      <w:r>
        <w:rPr>
          <w:rFonts w:eastAsiaTheme="minorEastAsia"/>
          <w:b/>
          <w:kern w:val="2"/>
          <w:sz w:val="20"/>
          <w:szCs w:val="20"/>
          <w:lang w:val="en-GB" w:eastAsia="zh-CN"/>
        </w:rPr>
        <w:t xml:space="preserve"> </w:t>
      </w:r>
      <w:r w:rsidRPr="00E854C9">
        <w:rPr>
          <w:rFonts w:eastAsiaTheme="minorEastAsia"/>
          <w:b/>
          <w:kern w:val="2"/>
          <w:sz w:val="20"/>
          <w:szCs w:val="20"/>
          <w:lang w:val="en-GB" w:eastAsia="zh-CN"/>
        </w:rPr>
        <w:t xml:space="preserve">the existing Rel-17 Pre-MG (de)activation delay requirements </w:t>
      </w:r>
      <w:r>
        <w:rPr>
          <w:rFonts w:eastAsiaTheme="minorEastAsia"/>
          <w:b/>
          <w:kern w:val="2"/>
          <w:sz w:val="20"/>
          <w:szCs w:val="20"/>
          <w:lang w:val="en-GB" w:eastAsia="zh-CN"/>
        </w:rPr>
        <w:t>is</w:t>
      </w:r>
      <w:r w:rsidRPr="00E854C9">
        <w:rPr>
          <w:rFonts w:eastAsiaTheme="minorEastAsia"/>
          <w:b/>
          <w:kern w:val="2"/>
          <w:sz w:val="20"/>
          <w:szCs w:val="20"/>
          <w:lang w:val="en-GB" w:eastAsia="zh-CN"/>
        </w:rPr>
        <w:t xml:space="preserve"> reused</w:t>
      </w:r>
      <w:r>
        <w:rPr>
          <w:rFonts w:eastAsiaTheme="minorEastAsia"/>
          <w:b/>
          <w:kern w:val="2"/>
          <w:sz w:val="20"/>
          <w:szCs w:val="20"/>
          <w:lang w:val="en-GB" w:eastAsia="zh-CN"/>
        </w:rPr>
        <w:t>.</w:t>
      </w:r>
    </w:p>
    <w:p w:rsidR="00E854C9" w:rsidRDefault="00984AD8" w:rsidP="00984AD8">
      <w:pPr>
        <w:pStyle w:val="a7"/>
        <w:numPr>
          <w:ilvl w:val="0"/>
          <w:numId w:val="45"/>
        </w:numPr>
        <w:spacing w:after="240"/>
        <w:rPr>
          <w:rFonts w:eastAsiaTheme="minorEastAsia"/>
          <w:b/>
          <w:kern w:val="2"/>
          <w:sz w:val="20"/>
          <w:szCs w:val="20"/>
          <w:lang w:val="en-GB" w:eastAsia="zh-CN"/>
        </w:rPr>
      </w:pPr>
      <w:r w:rsidRPr="00984AD8">
        <w:rPr>
          <w:rFonts w:eastAsiaTheme="minorEastAsia"/>
          <w:b/>
          <w:kern w:val="2"/>
          <w:sz w:val="20"/>
          <w:szCs w:val="20"/>
          <w:lang w:val="en-GB" w:eastAsia="zh-CN"/>
        </w:rPr>
        <w:t>If the multiple pre-MGs are triggered by different commands and if the later trigger command does not change the status of pre-MG</w:t>
      </w:r>
      <w:r>
        <w:rPr>
          <w:rFonts w:eastAsiaTheme="minorEastAsia"/>
          <w:b/>
          <w:kern w:val="2"/>
          <w:sz w:val="20"/>
          <w:szCs w:val="20"/>
          <w:lang w:val="en-GB" w:eastAsia="zh-CN"/>
        </w:rPr>
        <w:t xml:space="preserve"> being (de)activated</w:t>
      </w:r>
      <w:r w:rsidRPr="00984AD8">
        <w:rPr>
          <w:rFonts w:eastAsiaTheme="minorEastAsia"/>
          <w:b/>
          <w:kern w:val="2"/>
          <w:sz w:val="20"/>
          <w:szCs w:val="20"/>
          <w:lang w:val="en-GB" w:eastAsia="zh-CN"/>
        </w:rPr>
        <w:t>,</w:t>
      </w:r>
      <w:r>
        <w:rPr>
          <w:rFonts w:eastAsiaTheme="minorEastAsia"/>
          <w:b/>
          <w:kern w:val="2"/>
          <w:sz w:val="20"/>
          <w:szCs w:val="20"/>
          <w:lang w:val="en-GB" w:eastAsia="zh-CN"/>
        </w:rPr>
        <w:t xml:space="preserve"> </w:t>
      </w:r>
      <w:r w:rsidRPr="00984AD8">
        <w:rPr>
          <w:rFonts w:eastAsiaTheme="minorEastAsia"/>
          <w:b/>
          <w:kern w:val="2"/>
          <w:sz w:val="20"/>
          <w:szCs w:val="20"/>
          <w:lang w:val="en-GB" w:eastAsia="zh-CN"/>
        </w:rPr>
        <w:t xml:space="preserve">the (de)activation delay of pre-MG </w:t>
      </w:r>
      <w:r>
        <w:rPr>
          <w:rFonts w:eastAsiaTheme="minorEastAsia"/>
          <w:b/>
          <w:kern w:val="2"/>
          <w:sz w:val="20"/>
          <w:szCs w:val="20"/>
          <w:lang w:val="en-GB" w:eastAsia="zh-CN"/>
        </w:rPr>
        <w:t>being (de)activated</w:t>
      </w:r>
      <w:r w:rsidRPr="00984AD8">
        <w:rPr>
          <w:rFonts w:eastAsiaTheme="minorEastAsia"/>
          <w:b/>
          <w:kern w:val="2"/>
          <w:sz w:val="20"/>
          <w:szCs w:val="20"/>
          <w:lang w:val="en-GB" w:eastAsia="zh-CN"/>
        </w:rPr>
        <w:t xml:space="preserve"> </w:t>
      </w:r>
      <w:r>
        <w:rPr>
          <w:rFonts w:eastAsiaTheme="minorEastAsia"/>
          <w:b/>
          <w:kern w:val="2"/>
          <w:sz w:val="20"/>
          <w:szCs w:val="20"/>
          <w:lang w:val="en-GB" w:eastAsia="zh-CN"/>
        </w:rPr>
        <w:t>is</w:t>
      </w:r>
      <w:r w:rsidRPr="00984AD8">
        <w:rPr>
          <w:rFonts w:eastAsiaTheme="minorEastAsia"/>
          <w:b/>
          <w:kern w:val="2"/>
          <w:sz w:val="20"/>
          <w:szCs w:val="20"/>
          <w:lang w:val="en-GB" w:eastAsia="zh-CN"/>
        </w:rPr>
        <w:t xml:space="preserve"> extended </w:t>
      </w:r>
      <w:r>
        <w:rPr>
          <w:rFonts w:eastAsiaTheme="minorEastAsia"/>
          <w:b/>
          <w:kern w:val="2"/>
          <w:sz w:val="20"/>
          <w:szCs w:val="20"/>
          <w:lang w:val="en-GB" w:eastAsia="zh-CN"/>
        </w:rPr>
        <w:t>to BWP switch delay + 5ms +</w:t>
      </w:r>
      <w:r w:rsidRPr="00984AD8">
        <w:rPr>
          <w:rFonts w:eastAsiaTheme="minorEastAsia"/>
          <w:b/>
          <w:kern w:val="2"/>
          <w:sz w:val="20"/>
          <w:szCs w:val="20"/>
          <w:lang w:val="en-GB" w:eastAsia="zh-CN"/>
        </w:rPr>
        <w:t xml:space="preserve"> Xms</w:t>
      </w:r>
      <w:r>
        <w:rPr>
          <w:rFonts w:eastAsiaTheme="minorEastAsia"/>
          <w:b/>
          <w:kern w:val="2"/>
          <w:sz w:val="20"/>
          <w:szCs w:val="20"/>
          <w:lang w:val="en-GB" w:eastAsia="zh-CN"/>
        </w:rPr>
        <w:t>, FFS X.</w:t>
      </w:r>
    </w:p>
    <w:p w:rsidR="00984AD8" w:rsidRPr="00E854C9" w:rsidRDefault="00984AD8" w:rsidP="00984AD8">
      <w:pPr>
        <w:pStyle w:val="a7"/>
        <w:numPr>
          <w:ilvl w:val="0"/>
          <w:numId w:val="45"/>
        </w:numPr>
        <w:spacing w:after="240"/>
        <w:rPr>
          <w:rFonts w:eastAsiaTheme="minorEastAsia"/>
          <w:b/>
          <w:kern w:val="2"/>
          <w:sz w:val="20"/>
          <w:szCs w:val="20"/>
          <w:lang w:val="en-GB" w:eastAsia="zh-CN"/>
        </w:rPr>
      </w:pPr>
      <w:r w:rsidRPr="00984AD8">
        <w:rPr>
          <w:rFonts w:eastAsiaTheme="minorEastAsia"/>
          <w:b/>
          <w:kern w:val="2"/>
          <w:sz w:val="20"/>
          <w:szCs w:val="20"/>
          <w:lang w:val="en-GB" w:eastAsia="zh-CN"/>
        </w:rPr>
        <w:lastRenderedPageBreak/>
        <w:t>If the multiple pre-MGs are triggered by different commands and if the later trigger command change</w:t>
      </w:r>
      <w:r>
        <w:rPr>
          <w:rFonts w:eastAsiaTheme="minorEastAsia"/>
          <w:b/>
          <w:kern w:val="2"/>
          <w:sz w:val="20"/>
          <w:szCs w:val="20"/>
          <w:lang w:val="en-GB" w:eastAsia="zh-CN"/>
        </w:rPr>
        <w:t>s</w:t>
      </w:r>
      <w:r w:rsidRPr="00984AD8">
        <w:rPr>
          <w:rFonts w:eastAsiaTheme="minorEastAsia"/>
          <w:b/>
          <w:kern w:val="2"/>
          <w:sz w:val="20"/>
          <w:szCs w:val="20"/>
          <w:lang w:val="en-GB" w:eastAsia="zh-CN"/>
        </w:rPr>
        <w:t xml:space="preserve"> the status of pre-MG </w:t>
      </w:r>
      <w:r>
        <w:rPr>
          <w:rFonts w:eastAsiaTheme="minorEastAsia"/>
          <w:b/>
          <w:kern w:val="2"/>
          <w:sz w:val="20"/>
          <w:szCs w:val="20"/>
          <w:lang w:val="en-GB" w:eastAsia="zh-CN"/>
        </w:rPr>
        <w:t xml:space="preserve">being (de)activated, </w:t>
      </w:r>
      <w:r w:rsidRPr="00984AD8">
        <w:rPr>
          <w:rFonts w:eastAsiaTheme="minorEastAsia"/>
          <w:b/>
          <w:kern w:val="2"/>
          <w:sz w:val="20"/>
          <w:szCs w:val="20"/>
          <w:lang w:val="en-GB" w:eastAsia="zh-CN"/>
        </w:rPr>
        <w:t xml:space="preserve">the (de)activation delay of pre-MG </w:t>
      </w:r>
      <w:r>
        <w:rPr>
          <w:rFonts w:eastAsiaTheme="minorEastAsia"/>
          <w:b/>
          <w:kern w:val="2"/>
          <w:sz w:val="20"/>
          <w:szCs w:val="20"/>
          <w:lang w:val="en-GB" w:eastAsia="zh-CN"/>
        </w:rPr>
        <w:t>being (de)activated</w:t>
      </w:r>
      <w:r w:rsidRPr="00984AD8">
        <w:rPr>
          <w:rFonts w:eastAsiaTheme="minorEastAsia"/>
          <w:b/>
          <w:kern w:val="2"/>
          <w:sz w:val="20"/>
          <w:szCs w:val="20"/>
          <w:lang w:val="en-GB" w:eastAsia="zh-CN"/>
        </w:rPr>
        <w:t xml:space="preserve"> </w:t>
      </w:r>
      <w:r>
        <w:rPr>
          <w:rFonts w:eastAsiaTheme="minorEastAsia"/>
          <w:b/>
          <w:kern w:val="2"/>
          <w:sz w:val="20"/>
          <w:szCs w:val="20"/>
          <w:lang w:val="en-GB" w:eastAsia="zh-CN"/>
        </w:rPr>
        <w:t>is</w:t>
      </w:r>
      <w:r w:rsidRPr="00984AD8">
        <w:rPr>
          <w:rFonts w:eastAsiaTheme="minorEastAsia"/>
          <w:b/>
          <w:kern w:val="2"/>
          <w:sz w:val="20"/>
          <w:szCs w:val="20"/>
          <w:lang w:val="en-GB" w:eastAsia="zh-CN"/>
        </w:rPr>
        <w:t xml:space="preserve"> extended </w:t>
      </w:r>
      <w:r>
        <w:rPr>
          <w:rFonts w:eastAsiaTheme="minorEastAsia"/>
          <w:b/>
          <w:kern w:val="2"/>
          <w:sz w:val="20"/>
          <w:szCs w:val="20"/>
          <w:lang w:val="en-GB" w:eastAsia="zh-CN"/>
        </w:rPr>
        <w:t>to BWP switch delay + 5ms +</w:t>
      </w:r>
      <w:r w:rsidRPr="00984AD8">
        <w:rPr>
          <w:rFonts w:eastAsiaTheme="minorEastAsia"/>
          <w:b/>
          <w:kern w:val="2"/>
          <w:sz w:val="20"/>
          <w:szCs w:val="20"/>
          <w:lang w:val="en-GB" w:eastAsia="zh-CN"/>
        </w:rPr>
        <w:t xml:space="preserve"> </w:t>
      </w:r>
      <w:r>
        <w:rPr>
          <w:rFonts w:eastAsiaTheme="minorEastAsia"/>
          <w:b/>
          <w:kern w:val="2"/>
          <w:sz w:val="20"/>
          <w:szCs w:val="20"/>
          <w:lang w:val="en-GB" w:eastAsia="zh-CN"/>
        </w:rPr>
        <w:t>Y</w:t>
      </w:r>
      <w:r w:rsidRPr="00984AD8">
        <w:rPr>
          <w:rFonts w:eastAsiaTheme="minorEastAsia"/>
          <w:b/>
          <w:kern w:val="2"/>
          <w:sz w:val="20"/>
          <w:szCs w:val="20"/>
          <w:lang w:val="en-GB" w:eastAsia="zh-CN"/>
        </w:rPr>
        <w:t>ms</w:t>
      </w:r>
      <w:r>
        <w:rPr>
          <w:rFonts w:eastAsiaTheme="minorEastAsia"/>
          <w:b/>
          <w:kern w:val="2"/>
          <w:sz w:val="20"/>
          <w:szCs w:val="20"/>
          <w:lang w:val="en-GB" w:eastAsia="zh-CN"/>
        </w:rPr>
        <w:t xml:space="preserve">, </w:t>
      </w:r>
      <w:r w:rsidRPr="00984AD8">
        <w:rPr>
          <w:rFonts w:eastAsiaTheme="minorEastAsia"/>
          <w:b/>
          <w:kern w:val="2"/>
          <w:sz w:val="20"/>
          <w:szCs w:val="20"/>
          <w:lang w:val="en-GB" w:eastAsia="zh-CN"/>
        </w:rPr>
        <w:t>where Y is the time g</w:t>
      </w:r>
      <w:r>
        <w:rPr>
          <w:rFonts w:eastAsiaTheme="minorEastAsia"/>
          <w:b/>
          <w:kern w:val="2"/>
          <w:sz w:val="20"/>
          <w:szCs w:val="20"/>
          <w:lang w:val="en-GB" w:eastAsia="zh-CN"/>
        </w:rPr>
        <w:t>ap between two trigger commands.</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2"/>
      </w:tblGrid>
      <w:tr w:rsidR="0060276A" w:rsidTr="0060276A">
        <w:trPr>
          <w:trHeight w:val="1057"/>
        </w:trPr>
        <w:tc>
          <w:tcPr>
            <w:tcW w:w="8312" w:type="dxa"/>
          </w:tcPr>
          <w:p w:rsidR="0060276A" w:rsidRPr="0060276A" w:rsidRDefault="0060276A" w:rsidP="0060276A">
            <w:pPr>
              <w:pStyle w:val="3"/>
              <w:widowControl/>
              <w:numPr>
                <w:ilvl w:val="2"/>
                <w:numId w:val="0"/>
              </w:numPr>
              <w:tabs>
                <w:tab w:val="left" w:pos="576"/>
                <w:tab w:val="left" w:pos="1146"/>
              </w:tabs>
              <w:spacing w:before="0" w:after="0" w:line="240" w:lineRule="auto"/>
              <w:ind w:left="720" w:hanging="720"/>
              <w:contextualSpacing/>
              <w:jc w:val="left"/>
              <w:rPr>
                <w:rFonts w:ascii="Times New Roman" w:hAnsi="Times New Roman" w:cs="Times New Roman"/>
                <w:b w:val="0"/>
                <w:bCs w:val="0"/>
                <w:sz w:val="20"/>
                <w:szCs w:val="20"/>
              </w:rPr>
            </w:pPr>
            <w:r w:rsidRPr="0060276A">
              <w:rPr>
                <w:rFonts w:ascii="Times New Roman" w:hAnsi="Times New Roman" w:cs="Times New Roman"/>
                <w:b w:val="0"/>
                <w:bCs w:val="0"/>
                <w:sz w:val="20"/>
                <w:szCs w:val="20"/>
                <w:u w:val="single"/>
              </w:rPr>
              <w:t>Issue 3-2-3: [Case 1] When the pre-configured MG activation procedure is overlapped with one of concurrent gap occasion</w:t>
            </w:r>
            <w:r w:rsidRPr="0060276A">
              <w:rPr>
                <w:rFonts w:ascii="Times New Roman" w:hAnsi="Times New Roman" w:cs="Times New Roman"/>
                <w:b w:val="0"/>
                <w:bCs w:val="0"/>
                <w:sz w:val="20"/>
                <w:szCs w:val="20"/>
              </w:rPr>
              <w:t xml:space="preserve">  </w:t>
            </w:r>
          </w:p>
          <w:p w:rsidR="0060276A" w:rsidRPr="0060276A" w:rsidRDefault="0060276A" w:rsidP="0060276A">
            <w:pPr>
              <w:spacing w:afterLines="50" w:after="156"/>
              <w:ind w:leftChars="200" w:left="420"/>
              <w:contextualSpacing/>
              <w:rPr>
                <w:rFonts w:ascii="Times New Roman" w:hAnsi="Times New Roman" w:cs="Times New Roman"/>
                <w:sz w:val="20"/>
                <w:szCs w:val="20"/>
              </w:rPr>
            </w:pPr>
            <w:r w:rsidRPr="0060276A">
              <w:rPr>
                <w:rFonts w:ascii="Times New Roman" w:hAnsi="Times New Roman" w:cs="Times New Roman"/>
                <w:b/>
                <w:sz w:val="20"/>
                <w:szCs w:val="20"/>
              </w:rPr>
              <w:t>&lt; Wayforward &gt;</w:t>
            </w:r>
            <w:r w:rsidRPr="0060276A">
              <w:rPr>
                <w:rFonts w:ascii="Times New Roman" w:hAnsi="Times New Roman" w:cs="Times New Roman"/>
                <w:sz w:val="20"/>
                <w:szCs w:val="20"/>
              </w:rPr>
              <w:t>:</w:t>
            </w:r>
          </w:p>
          <w:p w:rsidR="0060276A" w:rsidRPr="0060276A" w:rsidRDefault="0060276A" w:rsidP="0060276A">
            <w:pPr>
              <w:spacing w:afterLines="50" w:after="156"/>
              <w:ind w:leftChars="200" w:left="420"/>
              <w:contextualSpacing/>
              <w:rPr>
                <w:rFonts w:ascii="Times New Roman" w:hAnsi="Times New Roman" w:cs="Times New Roman"/>
                <w:bCs/>
                <w:sz w:val="20"/>
                <w:szCs w:val="20"/>
              </w:rPr>
            </w:pPr>
            <w:r w:rsidRPr="0060276A">
              <w:rPr>
                <w:rFonts w:ascii="Times New Roman" w:hAnsi="Times New Roman" w:cs="Times New Roman"/>
                <w:bCs/>
                <w:sz w:val="20"/>
                <w:szCs w:val="20"/>
              </w:rPr>
              <w:t xml:space="preserve">FFS the options:  </w:t>
            </w:r>
          </w:p>
          <w:p w:rsidR="0060276A" w:rsidRPr="0060276A" w:rsidRDefault="0060276A" w:rsidP="0060276A">
            <w:pPr>
              <w:widowControl/>
              <w:numPr>
                <w:ilvl w:val="1"/>
                <w:numId w:val="44"/>
              </w:numPr>
              <w:spacing w:afterLines="50" w:after="156"/>
              <w:ind w:left="1655"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1: QC, MediaTek, CATT</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A collision between a change in the status of a pre-configured MG and a gap instance happens when the change occurs ≤ 4 ms before the start or ≤ 4 ms after the end of a gap instance of an activated concurrent MG. (UE shall extend the activation procedure)</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 xml:space="preserve">Option 1a: QC, </w:t>
            </w:r>
          </w:p>
          <w:p w:rsidR="0060276A" w:rsidRPr="0060276A" w:rsidRDefault="0060276A" w:rsidP="0060276A">
            <w:pPr>
              <w:widowControl/>
              <w:numPr>
                <w:ilvl w:val="3"/>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 xml:space="preserve">If a change in the status of a pre-configured MG collides with a gap instance, the change in status is delayed (until the end of the gap instance plus </w:t>
            </w:r>
            <w:r w:rsidRPr="0060276A">
              <w:rPr>
                <w:rFonts w:ascii="Times New Roman" w:hAnsi="Times New Roman" w:cs="Times New Roman"/>
                <w:b/>
                <w:bCs/>
                <w:sz w:val="20"/>
                <w:szCs w:val="20"/>
              </w:rPr>
              <w:t>5</w:t>
            </w:r>
            <w:r w:rsidRPr="0060276A">
              <w:rPr>
                <w:rFonts w:ascii="Times New Roman" w:hAnsi="Times New Roman" w:cs="Times New Roman"/>
                <w:sz w:val="20"/>
                <w:szCs w:val="20"/>
              </w:rPr>
              <w:t xml:space="preserve"> ms) to avoid the collision.</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1b: MediaTek</w:t>
            </w:r>
          </w:p>
          <w:p w:rsidR="0060276A" w:rsidRPr="0060276A" w:rsidRDefault="0060276A" w:rsidP="0060276A">
            <w:pPr>
              <w:widowControl/>
              <w:numPr>
                <w:ilvl w:val="3"/>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 xml:space="preserve">If a change in the status of a pre-configured MG collides with a gap instance, the change in status is delayed by (MGL of the gap instance plus </w:t>
            </w:r>
            <w:r w:rsidRPr="0060276A">
              <w:rPr>
                <w:rFonts w:ascii="Times New Roman" w:hAnsi="Times New Roman" w:cs="Times New Roman"/>
                <w:b/>
                <w:bCs/>
                <w:sz w:val="20"/>
                <w:szCs w:val="20"/>
              </w:rPr>
              <w:t>5</w:t>
            </w:r>
            <w:r w:rsidRPr="0060276A">
              <w:rPr>
                <w:rFonts w:ascii="Times New Roman" w:hAnsi="Times New Roman" w:cs="Times New Roman"/>
                <w:sz w:val="20"/>
                <w:szCs w:val="20"/>
              </w:rPr>
              <w:t xml:space="preserve"> ms) to avoid the collision.</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 xml:space="preserve">Option 1c: Nokia, </w:t>
            </w:r>
          </w:p>
          <w:p w:rsidR="0060276A" w:rsidRPr="0060276A" w:rsidRDefault="0060276A" w:rsidP="0060276A">
            <w:pPr>
              <w:widowControl/>
              <w:numPr>
                <w:ilvl w:val="3"/>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 xml:space="preserve">If a change in the status of a pre-configured MG collides with a gap instance, the change in status is delayed (until the end of the gap instance plus </w:t>
            </w:r>
            <w:r w:rsidRPr="0060276A">
              <w:rPr>
                <w:rFonts w:ascii="Times New Roman" w:hAnsi="Times New Roman" w:cs="Times New Roman"/>
                <w:b/>
                <w:bCs/>
                <w:sz w:val="20"/>
                <w:szCs w:val="20"/>
              </w:rPr>
              <w:t>4</w:t>
            </w:r>
            <w:r w:rsidRPr="0060276A">
              <w:rPr>
                <w:rFonts w:ascii="Times New Roman" w:hAnsi="Times New Roman" w:cs="Times New Roman"/>
                <w:sz w:val="20"/>
                <w:szCs w:val="20"/>
              </w:rPr>
              <w:t xml:space="preserve"> ms) to avoid the collision.</w:t>
            </w:r>
          </w:p>
          <w:p w:rsidR="0060276A" w:rsidRPr="0060276A" w:rsidRDefault="0060276A" w:rsidP="0060276A">
            <w:pPr>
              <w:widowControl/>
              <w:numPr>
                <w:ilvl w:val="1"/>
                <w:numId w:val="44"/>
              </w:numPr>
              <w:spacing w:afterLines="50" w:after="156"/>
              <w:ind w:left="1655"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2: CATT</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UE shall drop the activation procedure, when the pre-configured MG activation is overlapped with the other concurrent gap occasion.</w:t>
            </w:r>
          </w:p>
          <w:p w:rsidR="0060276A" w:rsidRPr="0060276A" w:rsidRDefault="0060276A" w:rsidP="0060276A">
            <w:pPr>
              <w:widowControl/>
              <w:numPr>
                <w:ilvl w:val="1"/>
                <w:numId w:val="44"/>
              </w:numPr>
              <w:spacing w:afterLines="50" w:after="156"/>
              <w:ind w:left="1655"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3: Xiaomi, ZTE</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UE shall drop the measurement on the overlapped concurrent gap occasion, when the pre-configured MG activation is overlapped with the other concurrent gap occasion. The activation/deactivation procedure should be prioritized.</w:t>
            </w:r>
          </w:p>
          <w:p w:rsidR="0060276A" w:rsidRPr="0060276A" w:rsidRDefault="0060276A" w:rsidP="0060276A">
            <w:pPr>
              <w:widowControl/>
              <w:numPr>
                <w:ilvl w:val="1"/>
                <w:numId w:val="44"/>
              </w:numPr>
              <w:spacing w:afterLines="50" w:after="156"/>
              <w:ind w:left="1655"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4: ZTE</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Firstly, regarding to the collision between pre-configured MG activation/deactivation procedure and one of concurrent gap occasion, the priority rule is not valid since of the status of the pre-configured MG is uncertain.</w:t>
            </w:r>
          </w:p>
          <w:p w:rsidR="0060276A" w:rsidRPr="0060276A" w:rsidRDefault="0060276A" w:rsidP="0060276A">
            <w:pPr>
              <w:widowControl/>
              <w:numPr>
                <w:ilvl w:val="1"/>
                <w:numId w:val="44"/>
              </w:numPr>
              <w:spacing w:afterLines="50" w:after="156"/>
              <w:ind w:left="1655"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5: Huawei</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RAN4 to decide UE behaviour when pre-MG (de)activation procedure is overlapped with occasion of the other MG after concluding how to handle deactivated pre-MG in collision handling.</w:t>
            </w:r>
          </w:p>
          <w:p w:rsidR="0060276A" w:rsidRPr="0060276A" w:rsidRDefault="0060276A" w:rsidP="0060276A">
            <w:pPr>
              <w:widowControl/>
              <w:numPr>
                <w:ilvl w:val="1"/>
                <w:numId w:val="44"/>
              </w:numPr>
              <w:spacing w:afterLines="50" w:after="156"/>
              <w:ind w:left="1655"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6: E///</w:t>
            </w:r>
          </w:p>
          <w:p w:rsidR="0060276A" w:rsidRPr="0060276A" w:rsidRDefault="0060276A" w:rsidP="0060276A">
            <w:pPr>
              <w:widowControl/>
              <w:numPr>
                <w:ilvl w:val="2"/>
                <w:numId w:val="44"/>
              </w:numPr>
              <w:snapToGrid w:val="0"/>
              <w:spacing w:afterLines="50" w:after="156"/>
              <w:ind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 xml:space="preserve">During Pre-MG activation/deactivation period, the UE is not required to receive or transmit in the corresponding NR serving cells in the Pre-MG occasions. </w:t>
            </w:r>
          </w:p>
          <w:p w:rsidR="0060276A" w:rsidRPr="0060276A" w:rsidRDefault="0060276A" w:rsidP="0060276A">
            <w:pPr>
              <w:widowControl/>
              <w:numPr>
                <w:ilvl w:val="1"/>
                <w:numId w:val="44"/>
              </w:numPr>
              <w:spacing w:afterLines="50" w:after="156"/>
              <w:ind w:left="1655" w:hanging="357"/>
              <w:contextualSpacing/>
              <w:jc w:val="left"/>
              <w:rPr>
                <w:rFonts w:ascii="Times New Roman" w:hAnsi="Times New Roman" w:cs="Times New Roman"/>
                <w:sz w:val="20"/>
                <w:szCs w:val="20"/>
              </w:rPr>
            </w:pPr>
            <w:r w:rsidRPr="0060276A">
              <w:rPr>
                <w:rFonts w:ascii="Times New Roman" w:hAnsi="Times New Roman" w:cs="Times New Roman"/>
                <w:sz w:val="20"/>
                <w:szCs w:val="20"/>
              </w:rPr>
              <w:t>Option 7: CATT, Intel</w:t>
            </w:r>
          </w:p>
          <w:p w:rsidR="0060276A" w:rsidRPr="0060276A" w:rsidRDefault="0060276A" w:rsidP="0060276A">
            <w:pPr>
              <w:widowControl/>
              <w:numPr>
                <w:ilvl w:val="2"/>
                <w:numId w:val="44"/>
              </w:numPr>
              <w:snapToGrid w:val="0"/>
              <w:spacing w:afterLines="50" w:after="156"/>
              <w:ind w:hanging="357"/>
              <w:contextualSpacing/>
              <w:jc w:val="left"/>
              <w:rPr>
                <w:bCs/>
              </w:rPr>
            </w:pPr>
            <w:r w:rsidRPr="0060276A">
              <w:rPr>
                <w:rFonts w:ascii="Times New Roman" w:hAnsi="Times New Roman" w:cs="Times New Roman"/>
                <w:bCs/>
                <w:sz w:val="20"/>
                <w:szCs w:val="20"/>
              </w:rPr>
              <w:t>There is no need to define additional UE capability for the support of collision case.</w:t>
            </w:r>
          </w:p>
        </w:tc>
      </w:tr>
    </w:tbl>
    <w:p w:rsidR="00383963" w:rsidRDefault="00383963" w:rsidP="00383963">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When the pre-configured MG </w:t>
      </w:r>
      <w:r w:rsidR="003D7D3E">
        <w:rPr>
          <w:rFonts w:ascii="Times New Roman" w:hAnsi="Times New Roman" w:cs="Times New Roman"/>
          <w:sz w:val="20"/>
          <w:szCs w:val="20"/>
          <w:lang w:val="en-GB"/>
        </w:rPr>
        <w:t>(de)</w:t>
      </w:r>
      <w:r>
        <w:rPr>
          <w:rFonts w:ascii="Times New Roman" w:hAnsi="Times New Roman" w:cs="Times New Roman"/>
          <w:sz w:val="20"/>
          <w:szCs w:val="20"/>
          <w:lang w:val="en-GB"/>
        </w:rPr>
        <w:t>activation procedure is overlapped with the concurrent gap</w:t>
      </w:r>
      <w:r w:rsidR="003D7D3E">
        <w:rPr>
          <w:rFonts w:ascii="Times New Roman" w:hAnsi="Times New Roman" w:cs="Times New Roman"/>
          <w:sz w:val="20"/>
          <w:szCs w:val="20"/>
          <w:lang w:val="en-GB"/>
        </w:rPr>
        <w:t xml:space="preserve"> instance</w:t>
      </w:r>
      <w:r>
        <w:rPr>
          <w:rFonts w:ascii="Times New Roman" w:hAnsi="Times New Roman" w:cs="Times New Roman"/>
          <w:sz w:val="20"/>
          <w:szCs w:val="20"/>
          <w:lang w:val="en-GB"/>
        </w:rPr>
        <w:t xml:space="preserve">, the UE behaviour </w:t>
      </w:r>
      <w:r w:rsidR="003D7D3E">
        <w:rPr>
          <w:rFonts w:ascii="Times New Roman" w:hAnsi="Times New Roman" w:cs="Times New Roman"/>
          <w:sz w:val="20"/>
          <w:szCs w:val="20"/>
          <w:lang w:val="en-GB"/>
        </w:rPr>
        <w:t>need to be clarified.</w:t>
      </w:r>
      <w:r>
        <w:rPr>
          <w:rFonts w:ascii="Times New Roman" w:hAnsi="Times New Roman" w:cs="Times New Roman"/>
          <w:sz w:val="20"/>
          <w:szCs w:val="20"/>
          <w:lang w:val="en-GB"/>
        </w:rPr>
        <w:t xml:space="preserve"> </w:t>
      </w:r>
      <w:r w:rsidR="003D7D3E">
        <w:rPr>
          <w:rFonts w:ascii="Times New Roman" w:hAnsi="Times New Roman" w:cs="Times New Roman"/>
          <w:sz w:val="20"/>
          <w:szCs w:val="20"/>
          <w:lang w:val="en-GB"/>
        </w:rPr>
        <w:t xml:space="preserve">As the </w:t>
      </w:r>
      <w:r w:rsidR="003D7D3E" w:rsidRPr="003D7D3E">
        <w:rPr>
          <w:rFonts w:ascii="Times New Roman" w:hAnsi="Times New Roman" w:cs="Times New Roman"/>
          <w:sz w:val="20"/>
          <w:szCs w:val="20"/>
          <w:lang w:val="en-GB"/>
        </w:rPr>
        <w:t>Activation/deactivation of Pre-MG takes effect from the first complete MG occasion after the ac</w:t>
      </w:r>
      <w:r w:rsidR="003D7D3E">
        <w:rPr>
          <w:rFonts w:ascii="Times New Roman" w:hAnsi="Times New Roman" w:cs="Times New Roman"/>
          <w:sz w:val="20"/>
          <w:szCs w:val="20"/>
          <w:lang w:val="en-GB"/>
        </w:rPr>
        <w:t>tivation and deactivation delay, there is no need to consider the</w:t>
      </w:r>
      <w:r w:rsidR="003D7D3E" w:rsidRPr="003D7D3E">
        <w:rPr>
          <w:rFonts w:ascii="Times New Roman" w:hAnsi="Times New Roman" w:cs="Times New Roman"/>
          <w:sz w:val="20"/>
          <w:szCs w:val="20"/>
          <w:lang w:val="en-GB"/>
        </w:rPr>
        <w:t xml:space="preserve"> </w:t>
      </w:r>
      <w:r w:rsidR="00817228">
        <w:rPr>
          <w:rFonts w:ascii="Times New Roman" w:hAnsi="Times New Roman" w:cs="Times New Roman"/>
          <w:sz w:val="20"/>
          <w:szCs w:val="20"/>
          <w:lang w:val="en-GB"/>
        </w:rPr>
        <w:lastRenderedPageBreak/>
        <w:t xml:space="preserve">gap </w:t>
      </w:r>
      <w:r w:rsidR="003D7D3E">
        <w:rPr>
          <w:rFonts w:ascii="Times New Roman" w:hAnsi="Times New Roman" w:cs="Times New Roman"/>
          <w:sz w:val="20"/>
          <w:szCs w:val="20"/>
          <w:lang w:val="en-GB"/>
        </w:rPr>
        <w:t>collision</w:t>
      </w:r>
      <w:r w:rsidR="00817228">
        <w:rPr>
          <w:rFonts w:ascii="Times New Roman" w:hAnsi="Times New Roman" w:cs="Times New Roman"/>
          <w:sz w:val="20"/>
          <w:szCs w:val="20"/>
          <w:lang w:val="en-GB"/>
        </w:rPr>
        <w:t xml:space="preserve"> and gap priority</w:t>
      </w:r>
      <w:r w:rsidR="003D7D3E">
        <w:rPr>
          <w:rFonts w:ascii="Times New Roman" w:hAnsi="Times New Roman" w:cs="Times New Roman"/>
          <w:sz w:val="20"/>
          <w:szCs w:val="20"/>
          <w:lang w:val="en-GB"/>
        </w:rPr>
        <w:t xml:space="preserve"> between the</w:t>
      </w:r>
      <w:r w:rsidR="003D7D3E" w:rsidRPr="003D7D3E">
        <w:rPr>
          <w:rFonts w:ascii="Times New Roman" w:hAnsi="Times New Roman" w:cs="Times New Roman"/>
          <w:sz w:val="20"/>
          <w:szCs w:val="20"/>
          <w:lang w:val="en-GB"/>
        </w:rPr>
        <w:t xml:space="preserve"> change in the status of a pre-configured MG and a gap instance</w:t>
      </w:r>
      <w:r w:rsidR="003D7D3E">
        <w:rPr>
          <w:rFonts w:ascii="Times New Roman" w:hAnsi="Times New Roman" w:cs="Times New Roman"/>
          <w:sz w:val="20"/>
          <w:szCs w:val="20"/>
          <w:lang w:val="en-GB"/>
        </w:rPr>
        <w:t>.</w:t>
      </w:r>
      <w:r w:rsidR="00817228">
        <w:rPr>
          <w:rFonts w:ascii="Times New Roman" w:hAnsi="Times New Roman" w:cs="Times New Roman"/>
          <w:sz w:val="20"/>
          <w:szCs w:val="20"/>
          <w:lang w:val="en-GB"/>
        </w:rPr>
        <w:t xml:space="preserve"> </w:t>
      </w:r>
      <w:r w:rsidR="00FA5FBB">
        <w:rPr>
          <w:rFonts w:ascii="Times New Roman" w:hAnsi="Times New Roman" w:cs="Times New Roman"/>
          <w:sz w:val="20"/>
          <w:szCs w:val="20"/>
          <w:lang w:val="en-GB"/>
        </w:rPr>
        <w:t>And from UE perspective, the UE may have to perform the measurement during the gap instance, and the (de)activation delay of pre-MG being (de)activated would be extended by the duration of gap plus 5ms.</w:t>
      </w:r>
    </w:p>
    <w:p w:rsidR="00383963" w:rsidRDefault="00383963" w:rsidP="00276796">
      <w:pPr>
        <w:spacing w:after="240"/>
        <w:jc w:val="center"/>
        <w:rPr>
          <w:rFonts w:ascii="Times New Roman" w:hAnsi="Times New Roman" w:cs="Times New Roman"/>
          <w:sz w:val="20"/>
          <w:szCs w:val="20"/>
          <w:lang w:val="en-GB"/>
        </w:rPr>
      </w:pPr>
      <w:r>
        <w:object w:dxaOrig="11820" w:dyaOrig="2600">
          <v:shape id="_x0000_i1028" type="#_x0000_t75" style="width:334.05pt;height:70.65pt" o:ole="">
            <v:imagedata r:id="rId14" o:title=""/>
          </v:shape>
          <o:OLEObject Type="Embed" ProgID="Visio.Drawing.15" ShapeID="_x0000_i1028" DrawAspect="Content" ObjectID="_1742663684" r:id="rId15"/>
        </w:object>
      </w:r>
    </w:p>
    <w:p w:rsidR="00383963" w:rsidRDefault="00FA5FBB" w:rsidP="00CE2C3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383963" w:rsidRPr="00335825">
        <w:rPr>
          <w:rFonts w:ascii="Times New Roman" w:hAnsi="Times New Roman" w:cs="Times New Roman"/>
          <w:b/>
          <w:sz w:val="20"/>
          <w:szCs w:val="20"/>
          <w:lang w:val="en-GB"/>
        </w:rPr>
        <w:t xml:space="preserve">: When the pre-configured MG activation procedure is overlapped with one of </w:t>
      </w:r>
      <w:r w:rsidR="00383963" w:rsidRPr="0089303E">
        <w:rPr>
          <w:rFonts w:ascii="Times New Roman" w:hAnsi="Times New Roman" w:cs="Times New Roman"/>
          <w:b/>
          <w:sz w:val="20"/>
          <w:szCs w:val="20"/>
          <w:lang w:val="en-GB"/>
        </w:rPr>
        <w:t xml:space="preserve">concurrent gap occasion, </w:t>
      </w:r>
      <w:r w:rsidRPr="00FA5FBB">
        <w:rPr>
          <w:rFonts w:ascii="Times New Roman" w:hAnsi="Times New Roman" w:cs="Times New Roman"/>
          <w:b/>
          <w:sz w:val="20"/>
          <w:szCs w:val="20"/>
          <w:lang w:val="en-GB"/>
        </w:rPr>
        <w:t xml:space="preserve">the (de)activation delay of pre-MG being (de)activated </w:t>
      </w:r>
      <w:r>
        <w:rPr>
          <w:rFonts w:ascii="Times New Roman" w:hAnsi="Times New Roman" w:cs="Times New Roman"/>
          <w:b/>
          <w:sz w:val="20"/>
          <w:szCs w:val="20"/>
          <w:lang w:val="en-GB"/>
        </w:rPr>
        <w:t>is</w:t>
      </w:r>
      <w:r w:rsidRPr="00FA5FBB">
        <w:rPr>
          <w:rFonts w:ascii="Times New Roman" w:hAnsi="Times New Roman" w:cs="Times New Roman"/>
          <w:b/>
          <w:sz w:val="20"/>
          <w:szCs w:val="20"/>
          <w:lang w:val="en-GB"/>
        </w:rPr>
        <w:t xml:space="preserve"> extended by </w:t>
      </w:r>
      <w:r>
        <w:rPr>
          <w:rFonts w:ascii="Times New Roman" w:hAnsi="Times New Roman" w:cs="Times New Roman"/>
          <w:b/>
          <w:sz w:val="20"/>
          <w:szCs w:val="20"/>
          <w:lang w:val="en-GB"/>
        </w:rPr>
        <w:t>MGL</w:t>
      </w:r>
      <w:r w:rsidRPr="00FA5FBB">
        <w:rPr>
          <w:rFonts w:ascii="Times New Roman" w:hAnsi="Times New Roman" w:cs="Times New Roman"/>
          <w:b/>
          <w:sz w:val="20"/>
          <w:szCs w:val="20"/>
          <w:lang w:val="en-GB"/>
        </w:rPr>
        <w:t xml:space="preserve"> of </w:t>
      </w:r>
      <w:r>
        <w:rPr>
          <w:rFonts w:ascii="Times New Roman" w:hAnsi="Times New Roman" w:cs="Times New Roman"/>
          <w:b/>
          <w:sz w:val="20"/>
          <w:szCs w:val="20"/>
          <w:lang w:val="en-GB"/>
        </w:rPr>
        <w:t xml:space="preserve">the </w:t>
      </w:r>
      <w:r w:rsidRPr="00FA5FBB">
        <w:rPr>
          <w:rFonts w:ascii="Times New Roman" w:hAnsi="Times New Roman" w:cs="Times New Roman"/>
          <w:b/>
          <w:sz w:val="20"/>
          <w:szCs w:val="20"/>
          <w:lang w:val="en-GB"/>
        </w:rPr>
        <w:t>gap</w:t>
      </w:r>
      <w:r>
        <w:rPr>
          <w:rFonts w:ascii="Times New Roman" w:hAnsi="Times New Roman" w:cs="Times New Roman"/>
          <w:b/>
          <w:sz w:val="20"/>
          <w:szCs w:val="20"/>
          <w:lang w:val="en-GB"/>
        </w:rPr>
        <w:t xml:space="preserve"> instance</w:t>
      </w:r>
      <w:r w:rsidRPr="00FA5FBB">
        <w:rPr>
          <w:rFonts w:ascii="Times New Roman" w:hAnsi="Times New Roman" w:cs="Times New Roman"/>
          <w:b/>
          <w:sz w:val="20"/>
          <w:szCs w:val="20"/>
          <w:lang w:val="en-GB"/>
        </w:rPr>
        <w:t xml:space="preserve"> plus 5ms.</w:t>
      </w:r>
    </w:p>
    <w:p w:rsidR="00305559" w:rsidRPr="00305559" w:rsidRDefault="00372C20" w:rsidP="00305559">
      <w:pPr>
        <w:rPr>
          <w:rFonts w:ascii="Times New Roman" w:hAnsi="Times New Roman" w:cs="Times New Roman"/>
          <w:b/>
          <w:bCs/>
          <w:sz w:val="20"/>
          <w:szCs w:val="24"/>
          <w:u w:val="single"/>
        </w:rPr>
      </w:pPr>
      <w:r>
        <w:rPr>
          <w:rFonts w:ascii="Times New Roman" w:hAnsi="Times New Roman" w:cs="Times New Roman"/>
          <w:b/>
          <w:bCs/>
          <w:sz w:val="20"/>
          <w:szCs w:val="24"/>
          <w:u w:val="single"/>
        </w:rPr>
        <w:t>C</w:t>
      </w:r>
      <w:r w:rsidR="00305559" w:rsidRPr="00305559">
        <w:rPr>
          <w:rFonts w:ascii="Times New Roman" w:hAnsi="Times New Roman" w:cs="Times New Roman"/>
          <w:b/>
          <w:bCs/>
          <w:sz w:val="20"/>
          <w:szCs w:val="24"/>
          <w:u w:val="single"/>
        </w:rPr>
        <w:t>ollision</w:t>
      </w:r>
      <w:r>
        <w:rPr>
          <w:rFonts w:ascii="Times New Roman" w:hAnsi="Times New Roman" w:cs="Times New Roman"/>
          <w:b/>
          <w:bCs/>
          <w:sz w:val="20"/>
          <w:szCs w:val="24"/>
          <w:u w:val="single"/>
        </w:rPr>
        <w:t xml:space="preserve"> handling</w:t>
      </w:r>
    </w:p>
    <w:tbl>
      <w:tblPr>
        <w:tblW w:w="84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7"/>
      </w:tblGrid>
      <w:tr w:rsidR="00CE2C39" w:rsidTr="00CE2C39">
        <w:trPr>
          <w:trHeight w:val="907"/>
        </w:trPr>
        <w:tc>
          <w:tcPr>
            <w:tcW w:w="8457" w:type="dxa"/>
          </w:tcPr>
          <w:p w:rsidR="00305559" w:rsidRPr="00305559" w:rsidRDefault="00305559" w:rsidP="00305559">
            <w:pPr>
              <w:pStyle w:val="3"/>
              <w:widowControl/>
              <w:numPr>
                <w:ilvl w:val="2"/>
                <w:numId w:val="0"/>
              </w:numPr>
              <w:tabs>
                <w:tab w:val="left" w:pos="576"/>
                <w:tab w:val="left" w:pos="1146"/>
              </w:tabs>
              <w:spacing w:before="120" w:after="180" w:line="240" w:lineRule="auto"/>
              <w:ind w:left="720" w:hanging="720"/>
              <w:jc w:val="left"/>
              <w:rPr>
                <w:rFonts w:ascii="Times New Roman" w:hAnsi="Times New Roman" w:cs="Times New Roman"/>
                <w:b w:val="0"/>
                <w:bCs w:val="0"/>
                <w:sz w:val="20"/>
                <w:szCs w:val="20"/>
              </w:rPr>
            </w:pPr>
            <w:r w:rsidRPr="00305559">
              <w:rPr>
                <w:rFonts w:ascii="Times New Roman" w:hAnsi="Times New Roman" w:cs="Times New Roman"/>
                <w:b w:val="0"/>
                <w:bCs w:val="0"/>
                <w:sz w:val="20"/>
                <w:szCs w:val="20"/>
                <w:u w:val="single"/>
              </w:rPr>
              <w:t>Issue 3-3-4: [Case 1] dynamic collisions definition</w:t>
            </w:r>
            <w:r w:rsidRPr="00305559">
              <w:rPr>
                <w:rFonts w:ascii="Times New Roman" w:hAnsi="Times New Roman" w:cs="Times New Roman"/>
                <w:b w:val="0"/>
                <w:bCs w:val="0"/>
                <w:sz w:val="20"/>
                <w:szCs w:val="20"/>
              </w:rPr>
              <w:t xml:space="preserve">  </w:t>
            </w:r>
          </w:p>
          <w:p w:rsidR="00305559" w:rsidRPr="00305559" w:rsidRDefault="00305559" w:rsidP="00305559">
            <w:pPr>
              <w:spacing w:afterLines="50" w:after="156"/>
              <w:ind w:leftChars="200" w:left="420"/>
              <w:rPr>
                <w:rFonts w:ascii="Times New Roman" w:hAnsi="Times New Roman" w:cs="Times New Roman"/>
                <w:sz w:val="20"/>
                <w:szCs w:val="20"/>
              </w:rPr>
            </w:pPr>
            <w:r w:rsidRPr="00305559">
              <w:rPr>
                <w:rFonts w:ascii="Times New Roman" w:hAnsi="Times New Roman" w:cs="Times New Roman"/>
                <w:b/>
                <w:sz w:val="20"/>
                <w:szCs w:val="20"/>
              </w:rPr>
              <w:t>&lt; Agreement from online session&gt;</w:t>
            </w:r>
            <w:r w:rsidRPr="00305559">
              <w:rPr>
                <w:rFonts w:ascii="Times New Roman" w:hAnsi="Times New Roman" w:cs="Times New Roman"/>
                <w:sz w:val="20"/>
                <w:szCs w:val="20"/>
              </w:rPr>
              <w:t xml:space="preserve">:  </w:t>
            </w:r>
          </w:p>
          <w:p w:rsidR="00305559" w:rsidRPr="00305559" w:rsidRDefault="00305559" w:rsidP="00305559">
            <w:pPr>
              <w:pStyle w:val="a7"/>
              <w:numPr>
                <w:ilvl w:val="0"/>
                <w:numId w:val="44"/>
              </w:numPr>
              <w:overflowPunct w:val="0"/>
              <w:autoSpaceDE w:val="0"/>
              <w:autoSpaceDN w:val="0"/>
              <w:adjustRightInd w:val="0"/>
              <w:spacing w:after="120" w:line="252" w:lineRule="auto"/>
              <w:contextualSpacing w:val="0"/>
              <w:rPr>
                <w:bCs/>
                <w:sz w:val="20"/>
                <w:szCs w:val="20"/>
              </w:rPr>
            </w:pPr>
            <w:r w:rsidRPr="00305559">
              <w:rPr>
                <w:bCs/>
                <w:sz w:val="20"/>
                <w:szCs w:val="20"/>
              </w:rPr>
              <w:t>Dynamic collisions are gap collisions involving at least one [activated] pre-configured MG, where gap instances of other MGs (which has lower priority) are dropped.</w:t>
            </w:r>
          </w:p>
          <w:p w:rsidR="00305559" w:rsidRPr="00305559" w:rsidRDefault="00305559" w:rsidP="00305559">
            <w:pPr>
              <w:pStyle w:val="a7"/>
              <w:numPr>
                <w:ilvl w:val="1"/>
                <w:numId w:val="44"/>
              </w:numPr>
              <w:overflowPunct w:val="0"/>
              <w:autoSpaceDE w:val="0"/>
              <w:autoSpaceDN w:val="0"/>
              <w:adjustRightInd w:val="0"/>
              <w:spacing w:after="120" w:line="252" w:lineRule="auto"/>
              <w:contextualSpacing w:val="0"/>
              <w:rPr>
                <w:bCs/>
                <w:sz w:val="20"/>
                <w:szCs w:val="20"/>
              </w:rPr>
            </w:pPr>
            <w:r w:rsidRPr="00305559">
              <w:rPr>
                <w:bCs/>
                <w:sz w:val="20"/>
                <w:szCs w:val="20"/>
              </w:rPr>
              <w:t>[activated] is based on the assumption that only activated Pre-MG can cause collisions.</w:t>
            </w:r>
          </w:p>
          <w:p w:rsidR="00305559" w:rsidRPr="00305559" w:rsidRDefault="00305559" w:rsidP="00305559">
            <w:pPr>
              <w:pStyle w:val="3"/>
              <w:widowControl/>
              <w:numPr>
                <w:ilvl w:val="2"/>
                <w:numId w:val="0"/>
              </w:numPr>
              <w:tabs>
                <w:tab w:val="left" w:pos="576"/>
                <w:tab w:val="left" w:pos="1146"/>
              </w:tabs>
              <w:spacing w:before="120" w:after="0" w:line="240" w:lineRule="auto"/>
              <w:ind w:left="720" w:hanging="720"/>
              <w:jc w:val="left"/>
              <w:rPr>
                <w:rFonts w:ascii="Times New Roman" w:hAnsi="Times New Roman" w:cs="Times New Roman"/>
                <w:b w:val="0"/>
                <w:bCs w:val="0"/>
                <w:sz w:val="20"/>
                <w:szCs w:val="20"/>
              </w:rPr>
            </w:pPr>
            <w:r w:rsidRPr="00305559">
              <w:rPr>
                <w:rFonts w:ascii="Times New Roman" w:hAnsi="Times New Roman" w:cs="Times New Roman"/>
                <w:b w:val="0"/>
                <w:bCs w:val="0"/>
                <w:sz w:val="20"/>
                <w:szCs w:val="20"/>
                <w:u w:val="single"/>
              </w:rPr>
              <w:t>Issue 3-3-5: [Case 1] Whether to define a new UE capability for dynamic collisions?</w:t>
            </w:r>
            <w:r w:rsidRPr="00305559">
              <w:rPr>
                <w:rFonts w:ascii="Times New Roman" w:hAnsi="Times New Roman" w:cs="Times New Roman"/>
                <w:b w:val="0"/>
                <w:bCs w:val="0"/>
                <w:sz w:val="20"/>
                <w:szCs w:val="20"/>
              </w:rPr>
              <w:t xml:space="preserve">  </w:t>
            </w:r>
          </w:p>
          <w:p w:rsidR="00305559" w:rsidRPr="00305559" w:rsidRDefault="00305559" w:rsidP="00305559">
            <w:pPr>
              <w:spacing w:afterLines="50" w:after="156"/>
              <w:ind w:leftChars="200" w:left="420"/>
              <w:rPr>
                <w:rFonts w:ascii="Times New Roman" w:hAnsi="Times New Roman" w:cs="Times New Roman"/>
                <w:sz w:val="20"/>
                <w:szCs w:val="20"/>
              </w:rPr>
            </w:pPr>
            <w:r w:rsidRPr="00305559">
              <w:rPr>
                <w:rFonts w:ascii="Times New Roman" w:hAnsi="Times New Roman" w:cs="Times New Roman"/>
                <w:b/>
                <w:sz w:val="20"/>
                <w:szCs w:val="20"/>
              </w:rPr>
              <w:t>&lt; Wayforward &gt;</w:t>
            </w:r>
            <w:r w:rsidRPr="00305559">
              <w:rPr>
                <w:rFonts w:ascii="Times New Roman" w:hAnsi="Times New Roman" w:cs="Times New Roman"/>
                <w:sz w:val="20"/>
                <w:szCs w:val="20"/>
              </w:rPr>
              <w:t xml:space="preserve">:  </w:t>
            </w:r>
          </w:p>
          <w:p w:rsidR="00305559" w:rsidRPr="00305559" w:rsidRDefault="00305559" w:rsidP="00305559">
            <w:pPr>
              <w:pStyle w:val="a7"/>
              <w:numPr>
                <w:ilvl w:val="1"/>
                <w:numId w:val="44"/>
              </w:numPr>
              <w:contextualSpacing w:val="0"/>
              <w:rPr>
                <w:sz w:val="20"/>
                <w:szCs w:val="20"/>
                <w:lang w:eastAsia="zh-CN"/>
              </w:rPr>
            </w:pPr>
            <w:r w:rsidRPr="00305559">
              <w:rPr>
                <w:sz w:val="20"/>
                <w:szCs w:val="20"/>
                <w:lang w:eastAsia="zh-CN"/>
              </w:rPr>
              <w:t>FFS.</w:t>
            </w:r>
          </w:p>
          <w:p w:rsidR="00305559" w:rsidRPr="00305559" w:rsidRDefault="00305559" w:rsidP="00305559">
            <w:pPr>
              <w:pStyle w:val="3"/>
              <w:widowControl/>
              <w:numPr>
                <w:ilvl w:val="2"/>
                <w:numId w:val="0"/>
              </w:numPr>
              <w:tabs>
                <w:tab w:val="left" w:pos="576"/>
                <w:tab w:val="left" w:pos="1146"/>
              </w:tabs>
              <w:spacing w:before="120" w:after="0" w:line="240" w:lineRule="auto"/>
              <w:ind w:left="720" w:hanging="720"/>
              <w:jc w:val="left"/>
              <w:rPr>
                <w:rFonts w:ascii="Times New Roman" w:hAnsi="Times New Roman" w:cs="Times New Roman"/>
                <w:b w:val="0"/>
                <w:bCs w:val="0"/>
                <w:sz w:val="20"/>
                <w:szCs w:val="20"/>
              </w:rPr>
            </w:pPr>
            <w:r w:rsidRPr="00305559">
              <w:rPr>
                <w:rFonts w:ascii="Times New Roman" w:hAnsi="Times New Roman" w:cs="Times New Roman"/>
                <w:b w:val="0"/>
                <w:bCs w:val="0"/>
                <w:sz w:val="20"/>
                <w:szCs w:val="20"/>
                <w:u w:val="single"/>
              </w:rPr>
              <w:t>Issue 3-3-6: [Case 1] dynamic collisions dropping rule</w:t>
            </w:r>
            <w:r w:rsidRPr="00305559">
              <w:rPr>
                <w:rFonts w:ascii="Times New Roman" w:hAnsi="Times New Roman" w:cs="Times New Roman"/>
                <w:b w:val="0"/>
                <w:bCs w:val="0"/>
                <w:sz w:val="20"/>
                <w:szCs w:val="20"/>
              </w:rPr>
              <w:t xml:space="preserve">  </w:t>
            </w:r>
          </w:p>
          <w:p w:rsidR="00305559" w:rsidRPr="00305559" w:rsidRDefault="00305559" w:rsidP="00305559">
            <w:pPr>
              <w:spacing w:afterLines="50" w:after="156"/>
              <w:ind w:leftChars="200" w:left="420"/>
              <w:rPr>
                <w:rFonts w:ascii="Times New Roman" w:hAnsi="Times New Roman" w:cs="Times New Roman"/>
                <w:sz w:val="20"/>
                <w:szCs w:val="20"/>
              </w:rPr>
            </w:pPr>
            <w:r w:rsidRPr="00305559">
              <w:rPr>
                <w:rFonts w:ascii="Times New Roman" w:hAnsi="Times New Roman" w:cs="Times New Roman"/>
                <w:b/>
                <w:sz w:val="20"/>
                <w:szCs w:val="20"/>
              </w:rPr>
              <w:t>&lt; Wayforward &gt;</w:t>
            </w:r>
            <w:r w:rsidRPr="00305559">
              <w:rPr>
                <w:rFonts w:ascii="Times New Roman" w:hAnsi="Times New Roman" w:cs="Times New Roman"/>
                <w:sz w:val="20"/>
                <w:szCs w:val="20"/>
              </w:rPr>
              <w:t xml:space="preserve">:  </w:t>
            </w:r>
          </w:p>
          <w:p w:rsidR="00CE2C39" w:rsidRPr="00CE2C39" w:rsidRDefault="00305559" w:rsidP="00305559">
            <w:pPr>
              <w:pStyle w:val="a7"/>
              <w:numPr>
                <w:ilvl w:val="1"/>
                <w:numId w:val="44"/>
              </w:numPr>
              <w:contextualSpacing w:val="0"/>
              <w:rPr>
                <w:lang w:eastAsia="zh-CN"/>
              </w:rPr>
            </w:pPr>
            <w:r w:rsidRPr="00305559">
              <w:rPr>
                <w:sz w:val="20"/>
                <w:szCs w:val="20"/>
                <w:lang w:eastAsia="zh-CN"/>
              </w:rPr>
              <w:t>FFS.</w:t>
            </w:r>
          </w:p>
        </w:tc>
      </w:tr>
    </w:tbl>
    <w:p w:rsidR="00FC6212" w:rsidRDefault="00D61BD2" w:rsidP="00A938DB">
      <w:pPr>
        <w:spacing w:after="240"/>
        <w:rPr>
          <w:rFonts w:ascii="Times New Roman" w:hAnsi="Times New Roman" w:cs="Times New Roman"/>
          <w:bCs/>
          <w:sz w:val="20"/>
          <w:szCs w:val="20"/>
        </w:rPr>
      </w:pPr>
      <w:r>
        <w:rPr>
          <w:rFonts w:ascii="Times New Roman" w:hAnsi="Times New Roman" w:cs="Times New Roman"/>
          <w:sz w:val="20"/>
          <w:szCs w:val="20"/>
          <w:lang w:val="en-GB"/>
        </w:rPr>
        <w:t xml:space="preserve">In last meeting, the dynamic collisions are defined as the gap </w:t>
      </w:r>
      <w:r w:rsidR="00FC6212" w:rsidRPr="00305559">
        <w:rPr>
          <w:rFonts w:ascii="Times New Roman" w:hAnsi="Times New Roman" w:cs="Times New Roman"/>
          <w:bCs/>
          <w:sz w:val="20"/>
          <w:szCs w:val="20"/>
        </w:rPr>
        <w:t xml:space="preserve">collisions involving at least one [activated] pre-configured MG, where gap instances of other MGs (which </w:t>
      </w:r>
      <w:r w:rsidR="00FC6212">
        <w:rPr>
          <w:rFonts w:ascii="Times New Roman" w:hAnsi="Times New Roman" w:cs="Times New Roman"/>
          <w:bCs/>
          <w:sz w:val="20"/>
          <w:szCs w:val="20"/>
        </w:rPr>
        <w:t xml:space="preserve">has lower priority) are dropped, as shown in figure 1, however, in </w:t>
      </w:r>
      <w:r w:rsidR="00FC6212" w:rsidRPr="00FC6212">
        <w:rPr>
          <w:rFonts w:ascii="Times New Roman" w:hAnsi="Times New Roman" w:cs="Times New Roman"/>
          <w:bCs/>
          <w:sz w:val="20"/>
          <w:szCs w:val="20"/>
        </w:rPr>
        <w:t>converse</w:t>
      </w:r>
      <w:r w:rsidR="00FC6212">
        <w:rPr>
          <w:rFonts w:ascii="Times New Roman" w:hAnsi="Times New Roman" w:cs="Times New Roman"/>
          <w:bCs/>
          <w:sz w:val="20"/>
          <w:szCs w:val="20"/>
        </w:rPr>
        <w:t xml:space="preserve">, </w:t>
      </w:r>
      <w:r w:rsidR="00ED724C">
        <w:rPr>
          <w:rFonts w:ascii="Times New Roman" w:hAnsi="Times New Roman" w:cs="Times New Roman"/>
          <w:bCs/>
          <w:sz w:val="20"/>
          <w:szCs w:val="20"/>
        </w:rPr>
        <w:t xml:space="preserve">if the status of pre-MG is changed from activated to deactivated and the activated pre-MG has higher priority, the gap instance of MG with lower priority would be dynamically changed from be dropped to be kept, </w:t>
      </w:r>
      <w:r w:rsidR="004B50B9">
        <w:rPr>
          <w:rFonts w:ascii="Times New Roman" w:hAnsi="Times New Roman" w:cs="Times New Roman"/>
          <w:bCs/>
          <w:sz w:val="20"/>
          <w:szCs w:val="20"/>
        </w:rPr>
        <w:t>as shown in figure 2. RAN4 needs to include</w:t>
      </w:r>
      <w:r w:rsidR="00233F55">
        <w:rPr>
          <w:rFonts w:ascii="Times New Roman" w:hAnsi="Times New Roman" w:cs="Times New Roman"/>
          <w:bCs/>
          <w:sz w:val="20"/>
          <w:szCs w:val="20"/>
        </w:rPr>
        <w:t xml:space="preserve"> the latter case </w:t>
      </w:r>
      <w:r w:rsidR="004B50B9">
        <w:rPr>
          <w:rFonts w:ascii="Times New Roman" w:hAnsi="Times New Roman" w:cs="Times New Roman"/>
          <w:bCs/>
          <w:sz w:val="20"/>
          <w:szCs w:val="20"/>
        </w:rPr>
        <w:t>in</w:t>
      </w:r>
      <w:r w:rsidR="00233F55">
        <w:rPr>
          <w:rFonts w:ascii="Times New Roman" w:hAnsi="Times New Roman" w:cs="Times New Roman"/>
          <w:bCs/>
          <w:sz w:val="20"/>
          <w:szCs w:val="20"/>
        </w:rPr>
        <w:t xml:space="preserve"> dynamic gap </w:t>
      </w:r>
      <w:r w:rsidR="00F95545">
        <w:rPr>
          <w:rFonts w:ascii="Times New Roman" w:hAnsi="Times New Roman" w:cs="Times New Roman"/>
          <w:bCs/>
          <w:sz w:val="20"/>
          <w:szCs w:val="20"/>
        </w:rPr>
        <w:t>handling</w:t>
      </w:r>
      <w:r w:rsidR="00233F55">
        <w:rPr>
          <w:rFonts w:ascii="Times New Roman" w:hAnsi="Times New Roman" w:cs="Times New Roman"/>
          <w:bCs/>
          <w:sz w:val="20"/>
          <w:szCs w:val="20"/>
        </w:rPr>
        <w:t>.</w:t>
      </w:r>
      <w:r w:rsidR="004B50B9">
        <w:rPr>
          <w:rFonts w:ascii="Times New Roman" w:hAnsi="Times New Roman" w:cs="Times New Roman"/>
          <w:bCs/>
          <w:sz w:val="20"/>
          <w:szCs w:val="20"/>
        </w:rPr>
        <w:t xml:space="preserve"> As the </w:t>
      </w:r>
      <w:r w:rsidR="00DA73E2">
        <w:rPr>
          <w:rFonts w:ascii="Times New Roman" w:hAnsi="Times New Roman" w:cs="Times New Roman"/>
          <w:bCs/>
          <w:sz w:val="20"/>
          <w:szCs w:val="20"/>
        </w:rPr>
        <w:t>UE should be able to handle the gap dropping or gap kept when the status of pre-MG is changed from deactivated to activated or from activated to deactivated respectively.</w:t>
      </w:r>
      <w:r w:rsidR="00233F55">
        <w:rPr>
          <w:rFonts w:ascii="Times New Roman" w:hAnsi="Times New Roman" w:cs="Times New Roman"/>
          <w:bCs/>
          <w:sz w:val="20"/>
          <w:szCs w:val="20"/>
        </w:rPr>
        <w:t xml:space="preserve"> </w:t>
      </w:r>
    </w:p>
    <w:p w:rsidR="00ED724C" w:rsidRDefault="00FC6212" w:rsidP="00ED724C">
      <w:pPr>
        <w:keepNext/>
        <w:spacing w:after="240"/>
      </w:pPr>
      <w:r>
        <w:object w:dxaOrig="12421" w:dyaOrig="3131">
          <v:shape id="_x0000_i1029" type="#_x0000_t75" style="width:414.7pt;height:104.35pt" o:ole="">
            <v:imagedata r:id="rId16" o:title=""/>
          </v:shape>
          <o:OLEObject Type="Embed" ProgID="Visio.Drawing.15" ShapeID="_x0000_i1029" DrawAspect="Content" ObjectID="_1742663685" r:id="rId17"/>
        </w:object>
      </w:r>
    </w:p>
    <w:p w:rsidR="00FC6212" w:rsidRDefault="00ED724C" w:rsidP="00233F55">
      <w:pPr>
        <w:pStyle w:val="aa"/>
        <w:spacing w:after="240"/>
        <w:jc w:val="center"/>
        <w:rPr>
          <w:rFonts w:ascii="Times New Roman" w:hAnsi="Times New Roman" w:cs="Times New Roman"/>
          <w:bCs/>
        </w:rPr>
      </w:pPr>
      <w:r w:rsidRPr="00ED724C">
        <w:rPr>
          <w:rFonts w:ascii="Times New Roman" w:hAnsi="Times New Roman" w:cs="Times New Roman"/>
        </w:rPr>
        <w:t xml:space="preserve">Figure </w:t>
      </w:r>
      <w:r w:rsidRPr="00ED724C">
        <w:rPr>
          <w:rFonts w:ascii="Times New Roman" w:hAnsi="Times New Roman" w:cs="Times New Roman"/>
        </w:rPr>
        <w:fldChar w:fldCharType="begin"/>
      </w:r>
      <w:r w:rsidRPr="00ED724C">
        <w:rPr>
          <w:rFonts w:ascii="Times New Roman" w:hAnsi="Times New Roman" w:cs="Times New Roman"/>
        </w:rPr>
        <w:instrText xml:space="preserve"> SEQ Figure \* ARABIC </w:instrText>
      </w:r>
      <w:r w:rsidRPr="00ED724C">
        <w:rPr>
          <w:rFonts w:ascii="Times New Roman" w:hAnsi="Times New Roman" w:cs="Times New Roman"/>
        </w:rPr>
        <w:fldChar w:fldCharType="separate"/>
      </w:r>
      <w:r>
        <w:rPr>
          <w:rFonts w:ascii="Times New Roman" w:hAnsi="Times New Roman" w:cs="Times New Roman"/>
          <w:noProof/>
        </w:rPr>
        <w:t>4</w:t>
      </w:r>
      <w:r w:rsidRPr="00ED724C">
        <w:rPr>
          <w:rFonts w:ascii="Times New Roman" w:hAnsi="Times New Roman" w:cs="Times New Roman"/>
        </w:rPr>
        <w:fldChar w:fldCharType="end"/>
      </w:r>
      <w:r w:rsidRPr="00ED724C">
        <w:rPr>
          <w:rFonts w:ascii="Times New Roman" w:hAnsi="Times New Roman" w:cs="Times New Roman"/>
        </w:rPr>
        <w:t>:</w:t>
      </w:r>
      <w:r>
        <w:rPr>
          <w:rFonts w:ascii="Times New Roman" w:hAnsi="Times New Roman" w:cs="Times New Roman"/>
        </w:rPr>
        <w:t xml:space="preserve"> Dynamic gap collision when the status of pre-MG is changed from deactivated to activated</w:t>
      </w:r>
    </w:p>
    <w:p w:rsidR="00ED724C" w:rsidRDefault="00ED724C" w:rsidP="00ED724C">
      <w:pPr>
        <w:keepNext/>
        <w:spacing w:after="240"/>
      </w:pPr>
      <w:r>
        <w:object w:dxaOrig="12421" w:dyaOrig="3161">
          <v:shape id="_x0000_i1030" type="#_x0000_t75" style="width:414.7pt;height:105.7pt" o:ole="">
            <v:imagedata r:id="rId18" o:title=""/>
          </v:shape>
          <o:OLEObject Type="Embed" ProgID="Visio.Drawing.15" ShapeID="_x0000_i1030" DrawAspect="Content" ObjectID="_1742663686" r:id="rId19"/>
        </w:object>
      </w:r>
    </w:p>
    <w:p w:rsidR="00ED724C" w:rsidRPr="00ED724C" w:rsidRDefault="00ED724C" w:rsidP="00233F55">
      <w:pPr>
        <w:pStyle w:val="aa"/>
        <w:spacing w:after="240"/>
        <w:jc w:val="center"/>
        <w:rPr>
          <w:rFonts w:ascii="Times New Roman" w:hAnsi="Times New Roman" w:cs="Times New Roman"/>
          <w:bCs/>
        </w:rPr>
      </w:pPr>
      <w:r w:rsidRPr="00ED724C">
        <w:rPr>
          <w:rFonts w:ascii="Times New Roman" w:hAnsi="Times New Roman" w:cs="Times New Roman"/>
        </w:rPr>
        <w:t xml:space="preserve">Figure </w:t>
      </w:r>
      <w:r w:rsidRPr="00ED724C">
        <w:rPr>
          <w:rFonts w:ascii="Times New Roman" w:hAnsi="Times New Roman" w:cs="Times New Roman"/>
        </w:rPr>
        <w:fldChar w:fldCharType="begin"/>
      </w:r>
      <w:r w:rsidRPr="00ED724C">
        <w:rPr>
          <w:rFonts w:ascii="Times New Roman" w:hAnsi="Times New Roman" w:cs="Times New Roman"/>
        </w:rPr>
        <w:instrText xml:space="preserve"> SEQ Figure \* ARABIC </w:instrText>
      </w:r>
      <w:r w:rsidRPr="00ED724C">
        <w:rPr>
          <w:rFonts w:ascii="Times New Roman" w:hAnsi="Times New Roman" w:cs="Times New Roman"/>
        </w:rPr>
        <w:fldChar w:fldCharType="separate"/>
      </w:r>
      <w:r w:rsidRPr="00ED724C">
        <w:rPr>
          <w:rFonts w:ascii="Times New Roman" w:hAnsi="Times New Roman" w:cs="Times New Roman"/>
          <w:noProof/>
        </w:rPr>
        <w:t>5</w:t>
      </w:r>
      <w:r w:rsidRPr="00ED724C">
        <w:rPr>
          <w:rFonts w:ascii="Times New Roman" w:hAnsi="Times New Roman" w:cs="Times New Roman"/>
        </w:rPr>
        <w:fldChar w:fldCharType="end"/>
      </w:r>
      <w:r w:rsidRPr="00ED724C">
        <w:rPr>
          <w:rFonts w:ascii="Times New Roman" w:hAnsi="Times New Roman" w:cs="Times New Roman"/>
        </w:rPr>
        <w:t>:</w:t>
      </w:r>
      <w:r>
        <w:rPr>
          <w:rFonts w:ascii="Times New Roman" w:hAnsi="Times New Roman" w:cs="Times New Roman"/>
        </w:rPr>
        <w:t xml:space="preserve"> </w:t>
      </w:r>
      <w:r w:rsidR="00233F55">
        <w:rPr>
          <w:rFonts w:ascii="Times New Roman" w:hAnsi="Times New Roman" w:cs="Times New Roman"/>
        </w:rPr>
        <w:t>Dynamic gap occasion when the status of pre-MG is changed from activated to deactivated</w:t>
      </w:r>
    </w:p>
    <w:p w:rsidR="00B4674D" w:rsidRDefault="00233F55" w:rsidP="00B4674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335825">
        <w:rPr>
          <w:rFonts w:ascii="Times New Roman" w:hAnsi="Times New Roman" w:cs="Times New Roman"/>
          <w:b/>
          <w:sz w:val="20"/>
          <w:szCs w:val="20"/>
          <w:lang w:val="en-GB"/>
        </w:rPr>
        <w:t xml:space="preserve">: </w:t>
      </w:r>
      <w:r w:rsidR="00DA73E2">
        <w:rPr>
          <w:rFonts w:ascii="Times New Roman" w:hAnsi="Times New Roman" w:cs="Times New Roman"/>
          <w:b/>
          <w:sz w:val="20"/>
          <w:szCs w:val="20"/>
          <w:lang w:val="en-GB"/>
        </w:rPr>
        <w:t xml:space="preserve">RAN4 to consider the </w:t>
      </w:r>
      <w:r w:rsidR="00F95545">
        <w:rPr>
          <w:rFonts w:ascii="Times New Roman" w:hAnsi="Times New Roman" w:cs="Times New Roman"/>
          <w:b/>
          <w:sz w:val="20"/>
          <w:szCs w:val="20"/>
          <w:lang w:val="en-GB"/>
        </w:rPr>
        <w:t xml:space="preserve">dynamic gap handling </w:t>
      </w:r>
      <w:r w:rsidR="00DA73E2">
        <w:rPr>
          <w:rFonts w:ascii="Times New Roman" w:hAnsi="Times New Roman" w:cs="Times New Roman"/>
          <w:b/>
          <w:sz w:val="20"/>
          <w:szCs w:val="20"/>
          <w:lang w:val="en-GB"/>
        </w:rPr>
        <w:t>case</w:t>
      </w:r>
      <w:r w:rsidR="00B4674D">
        <w:rPr>
          <w:rFonts w:ascii="Times New Roman" w:hAnsi="Times New Roman" w:cs="Times New Roman"/>
          <w:b/>
          <w:sz w:val="20"/>
          <w:szCs w:val="20"/>
          <w:lang w:val="en-GB"/>
        </w:rPr>
        <w:t xml:space="preserve"> </w:t>
      </w:r>
      <w:r w:rsidR="00F95545">
        <w:rPr>
          <w:rFonts w:ascii="Times New Roman" w:hAnsi="Times New Roman" w:cs="Times New Roman"/>
          <w:b/>
          <w:sz w:val="20"/>
          <w:szCs w:val="20"/>
          <w:lang w:val="en-GB"/>
        </w:rPr>
        <w:t>when</w:t>
      </w:r>
      <w:r w:rsidRPr="00233F55">
        <w:rPr>
          <w:rFonts w:ascii="Times New Roman" w:hAnsi="Times New Roman" w:cs="Times New Roman"/>
          <w:b/>
          <w:sz w:val="20"/>
          <w:szCs w:val="20"/>
          <w:lang w:val="en-GB"/>
        </w:rPr>
        <w:t xml:space="preserve"> </w:t>
      </w:r>
      <w:r w:rsidR="00B4674D" w:rsidRPr="00B4674D">
        <w:rPr>
          <w:rFonts w:ascii="Times New Roman" w:hAnsi="Times New Roman" w:cs="Times New Roman"/>
          <w:b/>
          <w:sz w:val="20"/>
          <w:szCs w:val="20"/>
          <w:lang w:val="en-GB"/>
        </w:rPr>
        <w:t>the status of pre-MG is change</w:t>
      </w:r>
      <w:r w:rsidR="00F95545">
        <w:rPr>
          <w:rFonts w:ascii="Times New Roman" w:hAnsi="Times New Roman" w:cs="Times New Roman"/>
          <w:b/>
          <w:sz w:val="20"/>
          <w:szCs w:val="20"/>
          <w:lang w:val="en-GB"/>
        </w:rPr>
        <w:t xml:space="preserve">d from activated to deactivated, </w:t>
      </w:r>
      <w:r w:rsidRPr="00233F55">
        <w:rPr>
          <w:rFonts w:ascii="Times New Roman" w:hAnsi="Times New Roman" w:cs="Times New Roman"/>
          <w:b/>
          <w:sz w:val="20"/>
          <w:szCs w:val="20"/>
          <w:lang w:val="en-GB"/>
        </w:rPr>
        <w:t xml:space="preserve">the gap </w:t>
      </w:r>
      <w:r w:rsidR="00A46C2A">
        <w:rPr>
          <w:rFonts w:ascii="Times New Roman" w:hAnsi="Times New Roman" w:cs="Times New Roman"/>
          <w:b/>
          <w:sz w:val="20"/>
          <w:szCs w:val="20"/>
          <w:lang w:val="en-GB"/>
        </w:rPr>
        <w:t>occasion of MG</w:t>
      </w:r>
      <w:r w:rsidR="00B4674D">
        <w:rPr>
          <w:rFonts w:ascii="Times New Roman" w:hAnsi="Times New Roman" w:cs="Times New Roman"/>
          <w:b/>
          <w:sz w:val="20"/>
          <w:szCs w:val="20"/>
          <w:lang w:val="en-GB"/>
        </w:rPr>
        <w:t xml:space="preserve"> with lower priority is</w:t>
      </w:r>
      <w:r w:rsidR="00B4674D" w:rsidRPr="00B4674D">
        <w:rPr>
          <w:rFonts w:ascii="Times New Roman" w:hAnsi="Times New Roman" w:cs="Times New Roman"/>
          <w:b/>
          <w:sz w:val="20"/>
          <w:szCs w:val="20"/>
          <w:lang w:val="en-GB"/>
        </w:rPr>
        <w:t xml:space="preserve"> dynamically changed from be dropped to be kept</w:t>
      </w:r>
      <w:r w:rsidR="00B4674D">
        <w:rPr>
          <w:rFonts w:ascii="Times New Roman" w:hAnsi="Times New Roman" w:cs="Times New Roman"/>
          <w:b/>
          <w:sz w:val="20"/>
          <w:szCs w:val="20"/>
          <w:lang w:val="en-GB"/>
        </w:rPr>
        <w:t>.</w:t>
      </w:r>
      <w:r w:rsidR="00A46C2A">
        <w:rPr>
          <w:rFonts w:ascii="Times New Roman" w:hAnsi="Times New Roman" w:cs="Times New Roman"/>
          <w:b/>
          <w:sz w:val="20"/>
          <w:szCs w:val="20"/>
          <w:lang w:val="en-GB"/>
        </w:rPr>
        <w:t xml:space="preserve"> </w:t>
      </w:r>
    </w:p>
    <w:p w:rsidR="00F95545" w:rsidRDefault="004B50B9" w:rsidP="00A938DB">
      <w:pPr>
        <w:spacing w:after="240"/>
        <w:rPr>
          <w:rFonts w:ascii="Times New Roman" w:hAnsi="Times New Roman" w:cs="Times New Roman"/>
          <w:sz w:val="20"/>
          <w:szCs w:val="20"/>
          <w:lang w:val="en-GB"/>
        </w:rPr>
      </w:pPr>
      <w:r>
        <w:rPr>
          <w:rFonts w:ascii="Times New Roman" w:hAnsi="Times New Roman" w:cs="Times New Roman"/>
          <w:sz w:val="20"/>
          <w:szCs w:val="20"/>
          <w:lang w:val="en-GB"/>
        </w:rPr>
        <w:t>Since t</w:t>
      </w:r>
      <w:r w:rsidR="004F6697" w:rsidRPr="004F6697">
        <w:rPr>
          <w:rFonts w:ascii="Times New Roman" w:hAnsi="Times New Roman" w:cs="Times New Roman"/>
          <w:sz w:val="20"/>
          <w:szCs w:val="20"/>
          <w:lang w:val="en-GB"/>
        </w:rPr>
        <w:t xml:space="preserve">he </w:t>
      </w:r>
      <w:r w:rsidR="004F6697">
        <w:rPr>
          <w:rFonts w:ascii="Times New Roman" w:hAnsi="Times New Roman" w:cs="Times New Roman"/>
          <w:sz w:val="20"/>
          <w:szCs w:val="20"/>
          <w:lang w:val="en-GB"/>
        </w:rPr>
        <w:t xml:space="preserve">dynamic </w:t>
      </w:r>
      <w:r w:rsidR="00F95545">
        <w:rPr>
          <w:rFonts w:ascii="Times New Roman" w:hAnsi="Times New Roman" w:cs="Times New Roman"/>
          <w:sz w:val="20"/>
          <w:szCs w:val="20"/>
          <w:lang w:val="en-GB"/>
        </w:rPr>
        <w:t>gap handling</w:t>
      </w:r>
      <w:r w:rsidR="004F6697">
        <w:rPr>
          <w:rFonts w:ascii="Times New Roman" w:hAnsi="Times New Roman" w:cs="Times New Roman"/>
          <w:sz w:val="20"/>
          <w:szCs w:val="20"/>
          <w:lang w:val="en-GB"/>
        </w:rPr>
        <w:t xml:space="preserve"> </w:t>
      </w:r>
      <w:r>
        <w:rPr>
          <w:rFonts w:ascii="Times New Roman" w:hAnsi="Times New Roman" w:cs="Times New Roman"/>
          <w:sz w:val="20"/>
          <w:szCs w:val="20"/>
          <w:lang w:val="en-GB"/>
        </w:rPr>
        <w:t>will</w:t>
      </w:r>
      <w:r w:rsidR="004F669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significantly </w:t>
      </w:r>
      <w:r w:rsidR="004F6697">
        <w:rPr>
          <w:rFonts w:ascii="Times New Roman" w:hAnsi="Times New Roman" w:cs="Times New Roman"/>
          <w:sz w:val="20"/>
          <w:szCs w:val="20"/>
          <w:lang w:val="en-GB"/>
        </w:rPr>
        <w:t xml:space="preserve">impact </w:t>
      </w:r>
      <w:r>
        <w:rPr>
          <w:rFonts w:ascii="Times New Roman" w:hAnsi="Times New Roman" w:cs="Times New Roman"/>
          <w:sz w:val="20"/>
          <w:szCs w:val="20"/>
          <w:lang w:val="en-GB"/>
        </w:rPr>
        <w:t>the measurement delay requirements, e.g. Kgap calculation</w:t>
      </w:r>
      <w:r w:rsidR="00F95545">
        <w:rPr>
          <w:rFonts w:ascii="Times New Roman" w:hAnsi="Times New Roman" w:cs="Times New Roman"/>
          <w:sz w:val="20"/>
          <w:szCs w:val="20"/>
          <w:lang w:val="en-GB"/>
        </w:rPr>
        <w:t xml:space="preserve"> for concurrent gap, which will cause the measurement delay requirement is different due to the change of pre-MG status. In order to facilitate the requirements and UE Implementation, RAN4 to consider the deactivated pre-MG in dynamic gap handling.</w:t>
      </w:r>
    </w:p>
    <w:p w:rsidR="00ED724C" w:rsidRPr="00F95545" w:rsidRDefault="00F95545" w:rsidP="00A938D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3582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w:t>
      </w:r>
      <w:r w:rsidRPr="00F95545">
        <w:rPr>
          <w:rFonts w:ascii="Times New Roman" w:hAnsi="Times New Roman" w:cs="Times New Roman"/>
          <w:b/>
          <w:sz w:val="20"/>
          <w:szCs w:val="20"/>
          <w:lang w:val="en-GB"/>
        </w:rPr>
        <w:t>the deactivated pre-MG in dynamic gap handling</w:t>
      </w:r>
      <w:r>
        <w:rPr>
          <w:rFonts w:ascii="Times New Roman" w:hAnsi="Times New Roman" w:cs="Times New Roman"/>
          <w:b/>
          <w:sz w:val="20"/>
          <w:szCs w:val="20"/>
          <w:lang w:val="en-GB"/>
        </w:rPr>
        <w:t xml:space="preserve">. </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23587">
        <w:rPr>
          <w:rFonts w:ascii="Times New Roman" w:hAnsi="Times New Roman" w:cs="Times New Roman"/>
          <w:sz w:val="20"/>
          <w:szCs w:val="20"/>
        </w:rPr>
        <w:t>RRM</w:t>
      </w:r>
      <w:r>
        <w:rPr>
          <w:rFonts w:ascii="Times New Roman" w:hAnsi="Times New Roman" w:cs="Times New Roman"/>
          <w:sz w:val="20"/>
          <w:szCs w:val="20"/>
        </w:rPr>
        <w:t xml:space="preserve"> requirements for </w:t>
      </w:r>
      <w:r w:rsidR="00B4674D">
        <w:rPr>
          <w:rFonts w:ascii="Times New Roman" w:hAnsi="Times New Roman" w:cs="Times New Roman"/>
          <w:sz w:val="20"/>
          <w:szCs w:val="20"/>
        </w:rPr>
        <w:t>case 1 when UE is configured with a combination of pre-configured MG and concurrent MG</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B4674D" w:rsidRDefault="00B4674D" w:rsidP="00B4674D">
      <w:pPr>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E854C9">
        <w:rPr>
          <w:rFonts w:ascii="Times New Roman" w:hAnsi="Times New Roman" w:cs="Times New Roman"/>
          <w:b/>
          <w:sz w:val="20"/>
          <w:szCs w:val="20"/>
          <w:lang w:val="en-GB"/>
        </w:rPr>
        <w:t>simultaneous</w:t>
      </w:r>
      <w:r>
        <w:rPr>
          <w:rFonts w:ascii="Times New Roman" w:hAnsi="Times New Roman" w:cs="Times New Roman"/>
          <w:b/>
          <w:sz w:val="20"/>
          <w:szCs w:val="20"/>
          <w:lang w:val="en-GB"/>
        </w:rPr>
        <w:t xml:space="preserve"> activation/deactivation of multiple pre-MGs</w:t>
      </w:r>
      <w:r w:rsidRPr="006546C9">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 xml:space="preserve">activation/deactivation delay is defined as follows: </w:t>
      </w:r>
    </w:p>
    <w:p w:rsidR="00B4674D" w:rsidRDefault="00B4674D" w:rsidP="00B4674D">
      <w:pPr>
        <w:pStyle w:val="a7"/>
        <w:numPr>
          <w:ilvl w:val="0"/>
          <w:numId w:val="45"/>
        </w:numPr>
        <w:spacing w:after="240"/>
        <w:rPr>
          <w:rFonts w:eastAsiaTheme="minorEastAsia"/>
          <w:b/>
          <w:kern w:val="2"/>
          <w:sz w:val="20"/>
          <w:szCs w:val="20"/>
          <w:lang w:val="en-GB" w:eastAsia="zh-CN"/>
        </w:rPr>
      </w:pPr>
      <w:r w:rsidRPr="00E854C9">
        <w:rPr>
          <w:rFonts w:eastAsiaTheme="minorEastAsia"/>
          <w:b/>
          <w:kern w:val="2"/>
          <w:sz w:val="20"/>
          <w:szCs w:val="20"/>
          <w:lang w:val="en-GB" w:eastAsia="zh-CN"/>
        </w:rPr>
        <w:t>If th</w:t>
      </w:r>
      <w:r>
        <w:rPr>
          <w:rFonts w:eastAsiaTheme="minorEastAsia"/>
          <w:b/>
          <w:kern w:val="2"/>
          <w:sz w:val="20"/>
          <w:szCs w:val="20"/>
          <w:lang w:val="en-GB" w:eastAsia="zh-CN"/>
        </w:rPr>
        <w:t>e</w:t>
      </w:r>
      <w:r w:rsidRPr="00E854C9">
        <w:rPr>
          <w:rFonts w:eastAsiaTheme="minorEastAsia"/>
          <w:b/>
          <w:kern w:val="2"/>
          <w:sz w:val="20"/>
          <w:szCs w:val="20"/>
          <w:lang w:val="en-GB" w:eastAsia="zh-CN"/>
        </w:rPr>
        <w:t xml:space="preserve"> multiple pre-MGs are triggered by the same command,</w:t>
      </w:r>
      <w:r>
        <w:rPr>
          <w:rFonts w:eastAsiaTheme="minorEastAsia"/>
          <w:b/>
          <w:kern w:val="2"/>
          <w:sz w:val="20"/>
          <w:szCs w:val="20"/>
          <w:lang w:val="en-GB" w:eastAsia="zh-CN"/>
        </w:rPr>
        <w:t xml:space="preserve"> </w:t>
      </w:r>
      <w:r w:rsidRPr="00E854C9">
        <w:rPr>
          <w:rFonts w:eastAsiaTheme="minorEastAsia"/>
          <w:b/>
          <w:kern w:val="2"/>
          <w:sz w:val="20"/>
          <w:szCs w:val="20"/>
          <w:lang w:val="en-GB" w:eastAsia="zh-CN"/>
        </w:rPr>
        <w:t xml:space="preserve">the existing Rel-17 Pre-MG (de)activation delay requirements </w:t>
      </w:r>
      <w:r>
        <w:rPr>
          <w:rFonts w:eastAsiaTheme="minorEastAsia"/>
          <w:b/>
          <w:kern w:val="2"/>
          <w:sz w:val="20"/>
          <w:szCs w:val="20"/>
          <w:lang w:val="en-GB" w:eastAsia="zh-CN"/>
        </w:rPr>
        <w:t>is</w:t>
      </w:r>
      <w:r w:rsidRPr="00E854C9">
        <w:rPr>
          <w:rFonts w:eastAsiaTheme="minorEastAsia"/>
          <w:b/>
          <w:kern w:val="2"/>
          <w:sz w:val="20"/>
          <w:szCs w:val="20"/>
          <w:lang w:val="en-GB" w:eastAsia="zh-CN"/>
        </w:rPr>
        <w:t xml:space="preserve"> reused</w:t>
      </w:r>
      <w:r>
        <w:rPr>
          <w:rFonts w:eastAsiaTheme="minorEastAsia"/>
          <w:b/>
          <w:kern w:val="2"/>
          <w:sz w:val="20"/>
          <w:szCs w:val="20"/>
          <w:lang w:val="en-GB" w:eastAsia="zh-CN"/>
        </w:rPr>
        <w:t>.</w:t>
      </w:r>
    </w:p>
    <w:p w:rsidR="00B4674D" w:rsidRDefault="00B4674D" w:rsidP="00B4674D">
      <w:pPr>
        <w:pStyle w:val="a7"/>
        <w:numPr>
          <w:ilvl w:val="0"/>
          <w:numId w:val="45"/>
        </w:numPr>
        <w:spacing w:after="240"/>
        <w:rPr>
          <w:rFonts w:eastAsiaTheme="minorEastAsia"/>
          <w:b/>
          <w:kern w:val="2"/>
          <w:sz w:val="20"/>
          <w:szCs w:val="20"/>
          <w:lang w:val="en-GB" w:eastAsia="zh-CN"/>
        </w:rPr>
      </w:pPr>
      <w:r w:rsidRPr="00984AD8">
        <w:rPr>
          <w:rFonts w:eastAsiaTheme="minorEastAsia"/>
          <w:b/>
          <w:kern w:val="2"/>
          <w:sz w:val="20"/>
          <w:szCs w:val="20"/>
          <w:lang w:val="en-GB" w:eastAsia="zh-CN"/>
        </w:rPr>
        <w:t>If the multiple pre-MGs are triggered by different commands and if the later trigger command does not change the status of pre-MG</w:t>
      </w:r>
      <w:r>
        <w:rPr>
          <w:rFonts w:eastAsiaTheme="minorEastAsia"/>
          <w:b/>
          <w:kern w:val="2"/>
          <w:sz w:val="20"/>
          <w:szCs w:val="20"/>
          <w:lang w:val="en-GB" w:eastAsia="zh-CN"/>
        </w:rPr>
        <w:t xml:space="preserve"> being (de)activated</w:t>
      </w:r>
      <w:r w:rsidRPr="00984AD8">
        <w:rPr>
          <w:rFonts w:eastAsiaTheme="minorEastAsia"/>
          <w:b/>
          <w:kern w:val="2"/>
          <w:sz w:val="20"/>
          <w:szCs w:val="20"/>
          <w:lang w:val="en-GB" w:eastAsia="zh-CN"/>
        </w:rPr>
        <w:t>,</w:t>
      </w:r>
      <w:r>
        <w:rPr>
          <w:rFonts w:eastAsiaTheme="minorEastAsia"/>
          <w:b/>
          <w:kern w:val="2"/>
          <w:sz w:val="20"/>
          <w:szCs w:val="20"/>
          <w:lang w:val="en-GB" w:eastAsia="zh-CN"/>
        </w:rPr>
        <w:t xml:space="preserve"> </w:t>
      </w:r>
      <w:r w:rsidRPr="00984AD8">
        <w:rPr>
          <w:rFonts w:eastAsiaTheme="minorEastAsia"/>
          <w:b/>
          <w:kern w:val="2"/>
          <w:sz w:val="20"/>
          <w:szCs w:val="20"/>
          <w:lang w:val="en-GB" w:eastAsia="zh-CN"/>
        </w:rPr>
        <w:t xml:space="preserve">the (de)activation delay of pre-MG </w:t>
      </w:r>
      <w:r>
        <w:rPr>
          <w:rFonts w:eastAsiaTheme="minorEastAsia"/>
          <w:b/>
          <w:kern w:val="2"/>
          <w:sz w:val="20"/>
          <w:szCs w:val="20"/>
          <w:lang w:val="en-GB" w:eastAsia="zh-CN"/>
        </w:rPr>
        <w:t>being (de)activated</w:t>
      </w:r>
      <w:r w:rsidRPr="00984AD8">
        <w:rPr>
          <w:rFonts w:eastAsiaTheme="minorEastAsia"/>
          <w:b/>
          <w:kern w:val="2"/>
          <w:sz w:val="20"/>
          <w:szCs w:val="20"/>
          <w:lang w:val="en-GB" w:eastAsia="zh-CN"/>
        </w:rPr>
        <w:t xml:space="preserve"> </w:t>
      </w:r>
      <w:r>
        <w:rPr>
          <w:rFonts w:eastAsiaTheme="minorEastAsia"/>
          <w:b/>
          <w:kern w:val="2"/>
          <w:sz w:val="20"/>
          <w:szCs w:val="20"/>
          <w:lang w:val="en-GB" w:eastAsia="zh-CN"/>
        </w:rPr>
        <w:t>is</w:t>
      </w:r>
      <w:r w:rsidRPr="00984AD8">
        <w:rPr>
          <w:rFonts w:eastAsiaTheme="minorEastAsia"/>
          <w:b/>
          <w:kern w:val="2"/>
          <w:sz w:val="20"/>
          <w:szCs w:val="20"/>
          <w:lang w:val="en-GB" w:eastAsia="zh-CN"/>
        </w:rPr>
        <w:t xml:space="preserve"> extended </w:t>
      </w:r>
      <w:r>
        <w:rPr>
          <w:rFonts w:eastAsiaTheme="minorEastAsia"/>
          <w:b/>
          <w:kern w:val="2"/>
          <w:sz w:val="20"/>
          <w:szCs w:val="20"/>
          <w:lang w:val="en-GB" w:eastAsia="zh-CN"/>
        </w:rPr>
        <w:t>to BWP switch delay + 5ms +</w:t>
      </w:r>
      <w:r w:rsidRPr="00984AD8">
        <w:rPr>
          <w:rFonts w:eastAsiaTheme="minorEastAsia"/>
          <w:b/>
          <w:kern w:val="2"/>
          <w:sz w:val="20"/>
          <w:szCs w:val="20"/>
          <w:lang w:val="en-GB" w:eastAsia="zh-CN"/>
        </w:rPr>
        <w:t xml:space="preserve"> Xms</w:t>
      </w:r>
      <w:r>
        <w:rPr>
          <w:rFonts w:eastAsiaTheme="minorEastAsia"/>
          <w:b/>
          <w:kern w:val="2"/>
          <w:sz w:val="20"/>
          <w:szCs w:val="20"/>
          <w:lang w:val="en-GB" w:eastAsia="zh-CN"/>
        </w:rPr>
        <w:t>, FFS X.</w:t>
      </w:r>
    </w:p>
    <w:p w:rsidR="00B4674D" w:rsidRPr="00E854C9" w:rsidRDefault="00B4674D" w:rsidP="00B4674D">
      <w:pPr>
        <w:pStyle w:val="a7"/>
        <w:numPr>
          <w:ilvl w:val="0"/>
          <w:numId w:val="45"/>
        </w:numPr>
        <w:spacing w:after="240"/>
        <w:rPr>
          <w:rFonts w:eastAsiaTheme="minorEastAsia"/>
          <w:b/>
          <w:kern w:val="2"/>
          <w:sz w:val="20"/>
          <w:szCs w:val="20"/>
          <w:lang w:val="en-GB" w:eastAsia="zh-CN"/>
        </w:rPr>
      </w:pPr>
      <w:r w:rsidRPr="00984AD8">
        <w:rPr>
          <w:rFonts w:eastAsiaTheme="minorEastAsia"/>
          <w:b/>
          <w:kern w:val="2"/>
          <w:sz w:val="20"/>
          <w:szCs w:val="20"/>
          <w:lang w:val="en-GB" w:eastAsia="zh-CN"/>
        </w:rPr>
        <w:t>If the multiple pre-MGs are triggered by different commands and if the later trigger command change</w:t>
      </w:r>
      <w:r>
        <w:rPr>
          <w:rFonts w:eastAsiaTheme="minorEastAsia"/>
          <w:b/>
          <w:kern w:val="2"/>
          <w:sz w:val="20"/>
          <w:szCs w:val="20"/>
          <w:lang w:val="en-GB" w:eastAsia="zh-CN"/>
        </w:rPr>
        <w:t>s</w:t>
      </w:r>
      <w:r w:rsidRPr="00984AD8">
        <w:rPr>
          <w:rFonts w:eastAsiaTheme="minorEastAsia"/>
          <w:b/>
          <w:kern w:val="2"/>
          <w:sz w:val="20"/>
          <w:szCs w:val="20"/>
          <w:lang w:val="en-GB" w:eastAsia="zh-CN"/>
        </w:rPr>
        <w:t xml:space="preserve"> the status of pre-MG </w:t>
      </w:r>
      <w:r>
        <w:rPr>
          <w:rFonts w:eastAsiaTheme="minorEastAsia"/>
          <w:b/>
          <w:kern w:val="2"/>
          <w:sz w:val="20"/>
          <w:szCs w:val="20"/>
          <w:lang w:val="en-GB" w:eastAsia="zh-CN"/>
        </w:rPr>
        <w:t xml:space="preserve">being (de)activated, </w:t>
      </w:r>
      <w:r w:rsidRPr="00984AD8">
        <w:rPr>
          <w:rFonts w:eastAsiaTheme="minorEastAsia"/>
          <w:b/>
          <w:kern w:val="2"/>
          <w:sz w:val="20"/>
          <w:szCs w:val="20"/>
          <w:lang w:val="en-GB" w:eastAsia="zh-CN"/>
        </w:rPr>
        <w:t xml:space="preserve">the (de)activation delay of pre-MG </w:t>
      </w:r>
      <w:r>
        <w:rPr>
          <w:rFonts w:eastAsiaTheme="minorEastAsia"/>
          <w:b/>
          <w:kern w:val="2"/>
          <w:sz w:val="20"/>
          <w:szCs w:val="20"/>
          <w:lang w:val="en-GB" w:eastAsia="zh-CN"/>
        </w:rPr>
        <w:t>being (de)activated</w:t>
      </w:r>
      <w:r w:rsidRPr="00984AD8">
        <w:rPr>
          <w:rFonts w:eastAsiaTheme="minorEastAsia"/>
          <w:b/>
          <w:kern w:val="2"/>
          <w:sz w:val="20"/>
          <w:szCs w:val="20"/>
          <w:lang w:val="en-GB" w:eastAsia="zh-CN"/>
        </w:rPr>
        <w:t xml:space="preserve"> </w:t>
      </w:r>
      <w:r>
        <w:rPr>
          <w:rFonts w:eastAsiaTheme="minorEastAsia"/>
          <w:b/>
          <w:kern w:val="2"/>
          <w:sz w:val="20"/>
          <w:szCs w:val="20"/>
          <w:lang w:val="en-GB" w:eastAsia="zh-CN"/>
        </w:rPr>
        <w:t>is</w:t>
      </w:r>
      <w:r w:rsidRPr="00984AD8">
        <w:rPr>
          <w:rFonts w:eastAsiaTheme="minorEastAsia"/>
          <w:b/>
          <w:kern w:val="2"/>
          <w:sz w:val="20"/>
          <w:szCs w:val="20"/>
          <w:lang w:val="en-GB" w:eastAsia="zh-CN"/>
        </w:rPr>
        <w:t xml:space="preserve"> extended </w:t>
      </w:r>
      <w:r>
        <w:rPr>
          <w:rFonts w:eastAsiaTheme="minorEastAsia"/>
          <w:b/>
          <w:kern w:val="2"/>
          <w:sz w:val="20"/>
          <w:szCs w:val="20"/>
          <w:lang w:val="en-GB" w:eastAsia="zh-CN"/>
        </w:rPr>
        <w:t>to BWP switch delay + 5ms +</w:t>
      </w:r>
      <w:r w:rsidRPr="00984AD8">
        <w:rPr>
          <w:rFonts w:eastAsiaTheme="minorEastAsia"/>
          <w:b/>
          <w:kern w:val="2"/>
          <w:sz w:val="20"/>
          <w:szCs w:val="20"/>
          <w:lang w:val="en-GB" w:eastAsia="zh-CN"/>
        </w:rPr>
        <w:t xml:space="preserve"> </w:t>
      </w:r>
      <w:r>
        <w:rPr>
          <w:rFonts w:eastAsiaTheme="minorEastAsia"/>
          <w:b/>
          <w:kern w:val="2"/>
          <w:sz w:val="20"/>
          <w:szCs w:val="20"/>
          <w:lang w:val="en-GB" w:eastAsia="zh-CN"/>
        </w:rPr>
        <w:t>Y</w:t>
      </w:r>
      <w:r w:rsidRPr="00984AD8">
        <w:rPr>
          <w:rFonts w:eastAsiaTheme="minorEastAsia"/>
          <w:b/>
          <w:kern w:val="2"/>
          <w:sz w:val="20"/>
          <w:szCs w:val="20"/>
          <w:lang w:val="en-GB" w:eastAsia="zh-CN"/>
        </w:rPr>
        <w:t>ms</w:t>
      </w:r>
      <w:r>
        <w:rPr>
          <w:rFonts w:eastAsiaTheme="minorEastAsia"/>
          <w:b/>
          <w:kern w:val="2"/>
          <w:sz w:val="20"/>
          <w:szCs w:val="20"/>
          <w:lang w:val="en-GB" w:eastAsia="zh-CN"/>
        </w:rPr>
        <w:t xml:space="preserve">, </w:t>
      </w:r>
      <w:r w:rsidRPr="00984AD8">
        <w:rPr>
          <w:rFonts w:eastAsiaTheme="minorEastAsia"/>
          <w:b/>
          <w:kern w:val="2"/>
          <w:sz w:val="20"/>
          <w:szCs w:val="20"/>
          <w:lang w:val="en-GB" w:eastAsia="zh-CN"/>
        </w:rPr>
        <w:t>where Y is the time g</w:t>
      </w:r>
      <w:r>
        <w:rPr>
          <w:rFonts w:eastAsiaTheme="minorEastAsia"/>
          <w:b/>
          <w:kern w:val="2"/>
          <w:sz w:val="20"/>
          <w:szCs w:val="20"/>
          <w:lang w:val="en-GB" w:eastAsia="zh-CN"/>
        </w:rPr>
        <w:t>ap between two trigger commands.</w:t>
      </w:r>
    </w:p>
    <w:p w:rsidR="00B4674D" w:rsidRDefault="00B4674D" w:rsidP="00B4674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Proposal 2</w:t>
      </w:r>
      <w:r w:rsidRPr="00335825">
        <w:rPr>
          <w:rFonts w:ascii="Times New Roman" w:hAnsi="Times New Roman" w:cs="Times New Roman"/>
          <w:b/>
          <w:sz w:val="20"/>
          <w:szCs w:val="20"/>
          <w:lang w:val="en-GB"/>
        </w:rPr>
        <w:t xml:space="preserve">: When the pre-configured MG activation procedure is overlapped with one of </w:t>
      </w:r>
      <w:r w:rsidRPr="0089303E">
        <w:rPr>
          <w:rFonts w:ascii="Times New Roman" w:hAnsi="Times New Roman" w:cs="Times New Roman"/>
          <w:b/>
          <w:sz w:val="20"/>
          <w:szCs w:val="20"/>
          <w:lang w:val="en-GB"/>
        </w:rPr>
        <w:t xml:space="preserve">concurrent gap occasion, </w:t>
      </w:r>
      <w:r w:rsidRPr="00FA5FBB">
        <w:rPr>
          <w:rFonts w:ascii="Times New Roman" w:hAnsi="Times New Roman" w:cs="Times New Roman"/>
          <w:b/>
          <w:sz w:val="20"/>
          <w:szCs w:val="20"/>
          <w:lang w:val="en-GB"/>
        </w:rPr>
        <w:t xml:space="preserve">the (de)activation delay of pre-MG being (de)activated </w:t>
      </w:r>
      <w:r>
        <w:rPr>
          <w:rFonts w:ascii="Times New Roman" w:hAnsi="Times New Roman" w:cs="Times New Roman"/>
          <w:b/>
          <w:sz w:val="20"/>
          <w:szCs w:val="20"/>
          <w:lang w:val="en-GB"/>
        </w:rPr>
        <w:t>is</w:t>
      </w:r>
      <w:r w:rsidRPr="00FA5FBB">
        <w:rPr>
          <w:rFonts w:ascii="Times New Roman" w:hAnsi="Times New Roman" w:cs="Times New Roman"/>
          <w:b/>
          <w:sz w:val="20"/>
          <w:szCs w:val="20"/>
          <w:lang w:val="en-GB"/>
        </w:rPr>
        <w:t xml:space="preserve"> extended by </w:t>
      </w:r>
      <w:r>
        <w:rPr>
          <w:rFonts w:ascii="Times New Roman" w:hAnsi="Times New Roman" w:cs="Times New Roman"/>
          <w:b/>
          <w:sz w:val="20"/>
          <w:szCs w:val="20"/>
          <w:lang w:val="en-GB"/>
        </w:rPr>
        <w:t>MGL</w:t>
      </w:r>
      <w:r w:rsidRPr="00FA5FBB">
        <w:rPr>
          <w:rFonts w:ascii="Times New Roman" w:hAnsi="Times New Roman" w:cs="Times New Roman"/>
          <w:b/>
          <w:sz w:val="20"/>
          <w:szCs w:val="20"/>
          <w:lang w:val="en-GB"/>
        </w:rPr>
        <w:t xml:space="preserve"> of </w:t>
      </w:r>
      <w:r>
        <w:rPr>
          <w:rFonts w:ascii="Times New Roman" w:hAnsi="Times New Roman" w:cs="Times New Roman"/>
          <w:b/>
          <w:sz w:val="20"/>
          <w:szCs w:val="20"/>
          <w:lang w:val="en-GB"/>
        </w:rPr>
        <w:t xml:space="preserve">the </w:t>
      </w:r>
      <w:r w:rsidRPr="00FA5FBB">
        <w:rPr>
          <w:rFonts w:ascii="Times New Roman" w:hAnsi="Times New Roman" w:cs="Times New Roman"/>
          <w:b/>
          <w:sz w:val="20"/>
          <w:szCs w:val="20"/>
          <w:lang w:val="en-GB"/>
        </w:rPr>
        <w:t>gap</w:t>
      </w:r>
      <w:r>
        <w:rPr>
          <w:rFonts w:ascii="Times New Roman" w:hAnsi="Times New Roman" w:cs="Times New Roman"/>
          <w:b/>
          <w:sz w:val="20"/>
          <w:szCs w:val="20"/>
          <w:lang w:val="en-GB"/>
        </w:rPr>
        <w:t xml:space="preserve"> instance</w:t>
      </w:r>
      <w:r w:rsidRPr="00FA5FBB">
        <w:rPr>
          <w:rFonts w:ascii="Times New Roman" w:hAnsi="Times New Roman" w:cs="Times New Roman"/>
          <w:b/>
          <w:sz w:val="20"/>
          <w:szCs w:val="20"/>
          <w:lang w:val="en-GB"/>
        </w:rPr>
        <w:t xml:space="preserve"> plus 5ms.</w:t>
      </w:r>
    </w:p>
    <w:p w:rsidR="00B4674D" w:rsidRDefault="009F49B1" w:rsidP="00B4674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335825">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consider the dynamic gap handling case when</w:t>
      </w:r>
      <w:r w:rsidRPr="00233F55">
        <w:rPr>
          <w:rFonts w:ascii="Times New Roman" w:hAnsi="Times New Roman" w:cs="Times New Roman"/>
          <w:b/>
          <w:sz w:val="20"/>
          <w:szCs w:val="20"/>
          <w:lang w:val="en-GB"/>
        </w:rPr>
        <w:t xml:space="preserve"> </w:t>
      </w:r>
      <w:r w:rsidRPr="00B4674D">
        <w:rPr>
          <w:rFonts w:ascii="Times New Roman" w:hAnsi="Times New Roman" w:cs="Times New Roman"/>
          <w:b/>
          <w:sz w:val="20"/>
          <w:szCs w:val="20"/>
          <w:lang w:val="en-GB"/>
        </w:rPr>
        <w:t>the status of pre-MG is change</w:t>
      </w:r>
      <w:r>
        <w:rPr>
          <w:rFonts w:ascii="Times New Roman" w:hAnsi="Times New Roman" w:cs="Times New Roman"/>
          <w:b/>
          <w:sz w:val="20"/>
          <w:szCs w:val="20"/>
          <w:lang w:val="en-GB"/>
        </w:rPr>
        <w:t xml:space="preserve">d from activated to deactivated, </w:t>
      </w:r>
      <w:r w:rsidRPr="00233F55">
        <w:rPr>
          <w:rFonts w:ascii="Times New Roman" w:hAnsi="Times New Roman" w:cs="Times New Roman"/>
          <w:b/>
          <w:sz w:val="20"/>
          <w:szCs w:val="20"/>
          <w:lang w:val="en-GB"/>
        </w:rPr>
        <w:t xml:space="preserve">the gap </w:t>
      </w:r>
      <w:r>
        <w:rPr>
          <w:rFonts w:ascii="Times New Roman" w:hAnsi="Times New Roman" w:cs="Times New Roman"/>
          <w:b/>
          <w:sz w:val="20"/>
          <w:szCs w:val="20"/>
          <w:lang w:val="en-GB"/>
        </w:rPr>
        <w:t>occasion of MG with lower priority is</w:t>
      </w:r>
      <w:r w:rsidRPr="00B4674D">
        <w:rPr>
          <w:rFonts w:ascii="Times New Roman" w:hAnsi="Times New Roman" w:cs="Times New Roman"/>
          <w:b/>
          <w:sz w:val="20"/>
          <w:szCs w:val="20"/>
          <w:lang w:val="en-GB"/>
        </w:rPr>
        <w:t xml:space="preserve"> dynamically changed from be dropped to be kept</w:t>
      </w:r>
      <w:r>
        <w:rPr>
          <w:rFonts w:ascii="Times New Roman" w:hAnsi="Times New Roman" w:cs="Times New Roman"/>
          <w:b/>
          <w:sz w:val="20"/>
          <w:szCs w:val="20"/>
          <w:lang w:val="en-GB"/>
        </w:rPr>
        <w:t>.</w:t>
      </w:r>
      <w:bookmarkStart w:id="0" w:name="_GoBack"/>
      <w:bookmarkEnd w:id="0"/>
    </w:p>
    <w:p w:rsidR="00C36D3A" w:rsidRPr="00B4674D" w:rsidRDefault="00005741" w:rsidP="00A938D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35825">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w:t>
      </w:r>
      <w:r w:rsidRPr="00F95545">
        <w:rPr>
          <w:rFonts w:ascii="Times New Roman" w:hAnsi="Times New Roman" w:cs="Times New Roman"/>
          <w:b/>
          <w:sz w:val="20"/>
          <w:szCs w:val="20"/>
          <w:lang w:val="en-GB"/>
        </w:rPr>
        <w:t>the deactivated pre-MG in dynamic gap handling</w:t>
      </w:r>
      <w:r>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t>R4</w:t>
      </w:r>
      <w:r>
        <w:rPr>
          <w:rFonts w:ascii="Times New Roman" w:hAnsi="Times New Roman" w:cs="Times New Roman"/>
          <w:sz w:val="20"/>
          <w:szCs w:val="20"/>
        </w:rPr>
        <w:t>-</w:t>
      </w:r>
      <w:r w:rsidR="00B4674D" w:rsidRPr="00B4674D">
        <w:rPr>
          <w:rFonts w:ascii="Times New Roman" w:hAnsi="Times New Roman" w:cs="Times New Roman"/>
          <w:sz w:val="20"/>
          <w:szCs w:val="20"/>
        </w:rPr>
        <w:t>2303197</w:t>
      </w:r>
      <w:r>
        <w:rPr>
          <w:rFonts w:ascii="Times New Roman" w:hAnsi="Times New Roman" w:cs="Times New Roman"/>
          <w:sz w:val="20"/>
          <w:szCs w:val="20"/>
        </w:rPr>
        <w:tab/>
      </w:r>
      <w:r w:rsidR="00B4674D" w:rsidRPr="00B4674D">
        <w:rPr>
          <w:rFonts w:ascii="Times New Roman" w:hAnsi="Times New Roman" w:cs="Times New Roman"/>
          <w:sz w:val="20"/>
          <w:szCs w:val="20"/>
        </w:rPr>
        <w:t>WF on Rel-18 NR MG enhancements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963006">
        <w:rPr>
          <w:rFonts w:ascii="Times New Roman" w:hAnsi="Times New Roman" w:cs="Times New Roman"/>
          <w:sz w:val="20"/>
          <w:szCs w:val="20"/>
        </w:rPr>
        <w:t>MediaTek Inc</w:t>
      </w:r>
    </w:p>
    <w:p w:rsidR="008631DC" w:rsidRPr="002361C7" w:rsidRDefault="008631DC" w:rsidP="00B15332">
      <w:pPr>
        <w:rPr>
          <w:rFonts w:ascii="Times New Roman" w:hAnsi="Times New Roman" w:cs="Times New Roman"/>
          <w:sz w:val="20"/>
          <w:szCs w:val="20"/>
        </w:rPr>
      </w:pPr>
    </w:p>
    <w:sectPr w:rsidR="008631DC" w:rsidRPr="002361C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0B9" w:rsidRDefault="00E230B9" w:rsidP="0054389C">
      <w:r>
        <w:separator/>
      </w:r>
    </w:p>
  </w:endnote>
  <w:endnote w:type="continuationSeparator" w:id="0">
    <w:p w:rsidR="00E230B9" w:rsidRDefault="00E230B9"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0B9" w:rsidRDefault="00E230B9" w:rsidP="0054389C">
      <w:r>
        <w:separator/>
      </w:r>
    </w:p>
  </w:footnote>
  <w:footnote w:type="continuationSeparator" w:id="0">
    <w:p w:rsidR="00E230B9" w:rsidRDefault="00E230B9"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E55267"/>
    <w:multiLevelType w:val="hybridMultilevel"/>
    <w:tmpl w:val="145ED9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EF4C8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30"/>
  </w:num>
  <w:num w:numId="3">
    <w:abstractNumId w:val="7"/>
  </w:num>
  <w:num w:numId="4">
    <w:abstractNumId w:val="6"/>
  </w:num>
  <w:num w:numId="5">
    <w:abstractNumId w:val="22"/>
  </w:num>
  <w:num w:numId="6">
    <w:abstractNumId w:val="27"/>
  </w:num>
  <w:num w:numId="7">
    <w:abstractNumId w:val="3"/>
  </w:num>
  <w:num w:numId="8">
    <w:abstractNumId w:val="11"/>
  </w:num>
  <w:num w:numId="9">
    <w:abstractNumId w:val="13"/>
  </w:num>
  <w:num w:numId="10">
    <w:abstractNumId w:val="8"/>
  </w:num>
  <w:num w:numId="11">
    <w:abstractNumId w:val="29"/>
  </w:num>
  <w:num w:numId="12">
    <w:abstractNumId w:val="21"/>
  </w:num>
  <w:num w:numId="13">
    <w:abstractNumId w:val="19"/>
  </w:num>
  <w:num w:numId="14">
    <w:abstractNumId w:val="36"/>
  </w:num>
  <w:num w:numId="15">
    <w:abstractNumId w:val="12"/>
  </w:num>
  <w:num w:numId="16">
    <w:abstractNumId w:val="35"/>
  </w:num>
  <w:num w:numId="17">
    <w:abstractNumId w:val="5"/>
  </w:num>
  <w:num w:numId="18">
    <w:abstractNumId w:val="24"/>
  </w:num>
  <w:num w:numId="19">
    <w:abstractNumId w:val="33"/>
  </w:num>
  <w:num w:numId="20">
    <w:abstractNumId w:val="17"/>
  </w:num>
  <w:num w:numId="21">
    <w:abstractNumId w:val="1"/>
  </w:num>
  <w:num w:numId="22">
    <w:abstractNumId w:val="15"/>
  </w:num>
  <w:num w:numId="23">
    <w:abstractNumId w:val="34"/>
  </w:num>
  <w:num w:numId="24">
    <w:abstractNumId w:val="25"/>
  </w:num>
  <w:num w:numId="25">
    <w:abstractNumId w:val="28"/>
  </w:num>
  <w:num w:numId="26">
    <w:abstractNumId w:val="40"/>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8"/>
  </w:num>
  <w:num w:numId="34">
    <w:abstractNumId w:val="23"/>
  </w:num>
  <w:num w:numId="35">
    <w:abstractNumId w:val="32"/>
  </w:num>
  <w:num w:numId="36">
    <w:abstractNumId w:val="32"/>
  </w:num>
  <w:num w:numId="37">
    <w:abstractNumId w:val="32"/>
  </w:num>
  <w:num w:numId="38">
    <w:abstractNumId w:val="20"/>
  </w:num>
  <w:num w:numId="39">
    <w:abstractNumId w:val="37"/>
  </w:num>
  <w:num w:numId="40">
    <w:abstractNumId w:val="31"/>
  </w:num>
  <w:num w:numId="41">
    <w:abstractNumId w:val="16"/>
  </w:num>
  <w:num w:numId="42">
    <w:abstractNumId w:val="39"/>
  </w:num>
  <w:num w:numId="43">
    <w:abstractNumId w:val="41"/>
  </w:num>
  <w:num w:numId="44">
    <w:abstractNumId w:val="26"/>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5741"/>
    <w:rsid w:val="0000685E"/>
    <w:rsid w:val="000158D0"/>
    <w:rsid w:val="00015C3C"/>
    <w:rsid w:val="00016088"/>
    <w:rsid w:val="00016727"/>
    <w:rsid w:val="00024DE8"/>
    <w:rsid w:val="0002546B"/>
    <w:rsid w:val="0002705A"/>
    <w:rsid w:val="00034A97"/>
    <w:rsid w:val="00041699"/>
    <w:rsid w:val="00051822"/>
    <w:rsid w:val="000645C7"/>
    <w:rsid w:val="00070463"/>
    <w:rsid w:val="000716C6"/>
    <w:rsid w:val="00072D64"/>
    <w:rsid w:val="000823B4"/>
    <w:rsid w:val="000B3B28"/>
    <w:rsid w:val="000C69EA"/>
    <w:rsid w:val="000D163E"/>
    <w:rsid w:val="000D352F"/>
    <w:rsid w:val="000D5572"/>
    <w:rsid w:val="000F428C"/>
    <w:rsid w:val="000F6FE6"/>
    <w:rsid w:val="00101ACC"/>
    <w:rsid w:val="00123587"/>
    <w:rsid w:val="0012493E"/>
    <w:rsid w:val="001260EF"/>
    <w:rsid w:val="00127301"/>
    <w:rsid w:val="001452D7"/>
    <w:rsid w:val="001478E9"/>
    <w:rsid w:val="0015540D"/>
    <w:rsid w:val="0016362E"/>
    <w:rsid w:val="001644B9"/>
    <w:rsid w:val="0016695D"/>
    <w:rsid w:val="00167860"/>
    <w:rsid w:val="001754BF"/>
    <w:rsid w:val="0017577F"/>
    <w:rsid w:val="001800C7"/>
    <w:rsid w:val="0018503A"/>
    <w:rsid w:val="00185C2B"/>
    <w:rsid w:val="00187ADE"/>
    <w:rsid w:val="001950FB"/>
    <w:rsid w:val="00195347"/>
    <w:rsid w:val="001A0C83"/>
    <w:rsid w:val="001A1790"/>
    <w:rsid w:val="001B142A"/>
    <w:rsid w:val="001B6E2C"/>
    <w:rsid w:val="001C641D"/>
    <w:rsid w:val="001C6C9A"/>
    <w:rsid w:val="001D03D9"/>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3F55"/>
    <w:rsid w:val="00235DBD"/>
    <w:rsid w:val="002361C7"/>
    <w:rsid w:val="00242135"/>
    <w:rsid w:val="00243B02"/>
    <w:rsid w:val="00245A4E"/>
    <w:rsid w:val="00246ADE"/>
    <w:rsid w:val="002647F2"/>
    <w:rsid w:val="00265CD5"/>
    <w:rsid w:val="00276796"/>
    <w:rsid w:val="00280D74"/>
    <w:rsid w:val="00281A5A"/>
    <w:rsid w:val="00290653"/>
    <w:rsid w:val="00294705"/>
    <w:rsid w:val="002B6210"/>
    <w:rsid w:val="002B652F"/>
    <w:rsid w:val="002B7E31"/>
    <w:rsid w:val="002D018A"/>
    <w:rsid w:val="002E3574"/>
    <w:rsid w:val="002E64BA"/>
    <w:rsid w:val="002F0CE5"/>
    <w:rsid w:val="002F6F34"/>
    <w:rsid w:val="003009F3"/>
    <w:rsid w:val="00305381"/>
    <w:rsid w:val="00305559"/>
    <w:rsid w:val="0031381D"/>
    <w:rsid w:val="0032084C"/>
    <w:rsid w:val="00324A56"/>
    <w:rsid w:val="00324CCC"/>
    <w:rsid w:val="0032715E"/>
    <w:rsid w:val="00330185"/>
    <w:rsid w:val="003329CE"/>
    <w:rsid w:val="00332A59"/>
    <w:rsid w:val="00335825"/>
    <w:rsid w:val="0035479D"/>
    <w:rsid w:val="00363A14"/>
    <w:rsid w:val="003700E4"/>
    <w:rsid w:val="003702DA"/>
    <w:rsid w:val="00372C20"/>
    <w:rsid w:val="00383963"/>
    <w:rsid w:val="0038659C"/>
    <w:rsid w:val="003A4170"/>
    <w:rsid w:val="003A4595"/>
    <w:rsid w:val="003A4A9D"/>
    <w:rsid w:val="003B6133"/>
    <w:rsid w:val="003B78F5"/>
    <w:rsid w:val="003D3206"/>
    <w:rsid w:val="003D3A49"/>
    <w:rsid w:val="003D7D3E"/>
    <w:rsid w:val="003E1EB2"/>
    <w:rsid w:val="003E6CF6"/>
    <w:rsid w:val="003F6FCE"/>
    <w:rsid w:val="004074F2"/>
    <w:rsid w:val="00413D34"/>
    <w:rsid w:val="0041525E"/>
    <w:rsid w:val="00416279"/>
    <w:rsid w:val="00417042"/>
    <w:rsid w:val="004230BF"/>
    <w:rsid w:val="00431676"/>
    <w:rsid w:val="0044195C"/>
    <w:rsid w:val="00460AAF"/>
    <w:rsid w:val="0046466C"/>
    <w:rsid w:val="00467C66"/>
    <w:rsid w:val="004718D4"/>
    <w:rsid w:val="00471AA1"/>
    <w:rsid w:val="00480411"/>
    <w:rsid w:val="00485068"/>
    <w:rsid w:val="0048645C"/>
    <w:rsid w:val="0049439B"/>
    <w:rsid w:val="004A2AFD"/>
    <w:rsid w:val="004A351E"/>
    <w:rsid w:val="004A3F2B"/>
    <w:rsid w:val="004A583B"/>
    <w:rsid w:val="004B451B"/>
    <w:rsid w:val="004B50B9"/>
    <w:rsid w:val="004C222C"/>
    <w:rsid w:val="004C6A6A"/>
    <w:rsid w:val="004D00B7"/>
    <w:rsid w:val="004D26E8"/>
    <w:rsid w:val="004D4C80"/>
    <w:rsid w:val="004D6569"/>
    <w:rsid w:val="004E0C32"/>
    <w:rsid w:val="004E2808"/>
    <w:rsid w:val="004E2E67"/>
    <w:rsid w:val="004E306E"/>
    <w:rsid w:val="004E48DA"/>
    <w:rsid w:val="004F4A70"/>
    <w:rsid w:val="004F6697"/>
    <w:rsid w:val="00505332"/>
    <w:rsid w:val="005218FD"/>
    <w:rsid w:val="005248BF"/>
    <w:rsid w:val="00543855"/>
    <w:rsid w:val="0054389C"/>
    <w:rsid w:val="00545812"/>
    <w:rsid w:val="00555C21"/>
    <w:rsid w:val="00562DFE"/>
    <w:rsid w:val="00563C8B"/>
    <w:rsid w:val="00564FA2"/>
    <w:rsid w:val="005667A5"/>
    <w:rsid w:val="00566B7A"/>
    <w:rsid w:val="00570005"/>
    <w:rsid w:val="0057452F"/>
    <w:rsid w:val="0057736B"/>
    <w:rsid w:val="0059161C"/>
    <w:rsid w:val="005A7A53"/>
    <w:rsid w:val="005A7E7C"/>
    <w:rsid w:val="005B210E"/>
    <w:rsid w:val="005B3CDF"/>
    <w:rsid w:val="005B4847"/>
    <w:rsid w:val="005C1A59"/>
    <w:rsid w:val="005C6153"/>
    <w:rsid w:val="005C6720"/>
    <w:rsid w:val="005C6FA4"/>
    <w:rsid w:val="005D0746"/>
    <w:rsid w:val="005D3087"/>
    <w:rsid w:val="005E3EE4"/>
    <w:rsid w:val="005F53F5"/>
    <w:rsid w:val="005F5B24"/>
    <w:rsid w:val="005F6DF7"/>
    <w:rsid w:val="0060276A"/>
    <w:rsid w:val="006068C7"/>
    <w:rsid w:val="00611B19"/>
    <w:rsid w:val="006142E8"/>
    <w:rsid w:val="00615A48"/>
    <w:rsid w:val="006165ED"/>
    <w:rsid w:val="006214B2"/>
    <w:rsid w:val="006241B7"/>
    <w:rsid w:val="00630344"/>
    <w:rsid w:val="0063093D"/>
    <w:rsid w:val="006367AB"/>
    <w:rsid w:val="006368BE"/>
    <w:rsid w:val="0064419F"/>
    <w:rsid w:val="00652D79"/>
    <w:rsid w:val="006546C9"/>
    <w:rsid w:val="006602E7"/>
    <w:rsid w:val="0066419E"/>
    <w:rsid w:val="00675388"/>
    <w:rsid w:val="006803DB"/>
    <w:rsid w:val="00680FF7"/>
    <w:rsid w:val="00685EFE"/>
    <w:rsid w:val="00687E6B"/>
    <w:rsid w:val="006A69F0"/>
    <w:rsid w:val="006B0FDC"/>
    <w:rsid w:val="006C49CF"/>
    <w:rsid w:val="006C713C"/>
    <w:rsid w:val="006D7986"/>
    <w:rsid w:val="006E04B2"/>
    <w:rsid w:val="006E6641"/>
    <w:rsid w:val="006F4393"/>
    <w:rsid w:val="007000C2"/>
    <w:rsid w:val="007039C2"/>
    <w:rsid w:val="00704E0D"/>
    <w:rsid w:val="007070F1"/>
    <w:rsid w:val="0071718E"/>
    <w:rsid w:val="00717E1B"/>
    <w:rsid w:val="007213C7"/>
    <w:rsid w:val="00723874"/>
    <w:rsid w:val="00731CC2"/>
    <w:rsid w:val="007422A0"/>
    <w:rsid w:val="00745132"/>
    <w:rsid w:val="00752807"/>
    <w:rsid w:val="00752A0E"/>
    <w:rsid w:val="0075409F"/>
    <w:rsid w:val="00762B01"/>
    <w:rsid w:val="0076771B"/>
    <w:rsid w:val="00774CC0"/>
    <w:rsid w:val="00775CBB"/>
    <w:rsid w:val="00780CF0"/>
    <w:rsid w:val="00780FFB"/>
    <w:rsid w:val="0078135A"/>
    <w:rsid w:val="00792951"/>
    <w:rsid w:val="007962F9"/>
    <w:rsid w:val="007978E0"/>
    <w:rsid w:val="007A2296"/>
    <w:rsid w:val="007C16D2"/>
    <w:rsid w:val="007F5703"/>
    <w:rsid w:val="0080081A"/>
    <w:rsid w:val="0080162C"/>
    <w:rsid w:val="00803D9E"/>
    <w:rsid w:val="00817228"/>
    <w:rsid w:val="0082167B"/>
    <w:rsid w:val="00824894"/>
    <w:rsid w:val="00832714"/>
    <w:rsid w:val="00836272"/>
    <w:rsid w:val="00841157"/>
    <w:rsid w:val="00841D35"/>
    <w:rsid w:val="008630DE"/>
    <w:rsid w:val="008631DC"/>
    <w:rsid w:val="00873E40"/>
    <w:rsid w:val="008827F1"/>
    <w:rsid w:val="00883B49"/>
    <w:rsid w:val="00892911"/>
    <w:rsid w:val="0089303E"/>
    <w:rsid w:val="00893262"/>
    <w:rsid w:val="00896E69"/>
    <w:rsid w:val="008A0C13"/>
    <w:rsid w:val="008A347A"/>
    <w:rsid w:val="008A6635"/>
    <w:rsid w:val="008A7CA1"/>
    <w:rsid w:val="008C3B63"/>
    <w:rsid w:val="008D005F"/>
    <w:rsid w:val="008D26B8"/>
    <w:rsid w:val="008D6E7B"/>
    <w:rsid w:val="008F3AB1"/>
    <w:rsid w:val="008F62CF"/>
    <w:rsid w:val="0090090C"/>
    <w:rsid w:val="009009A0"/>
    <w:rsid w:val="00914480"/>
    <w:rsid w:val="00920079"/>
    <w:rsid w:val="00923785"/>
    <w:rsid w:val="00927EDF"/>
    <w:rsid w:val="00927F9D"/>
    <w:rsid w:val="009327EC"/>
    <w:rsid w:val="00942EEE"/>
    <w:rsid w:val="009509D5"/>
    <w:rsid w:val="00951C40"/>
    <w:rsid w:val="00963006"/>
    <w:rsid w:val="00963620"/>
    <w:rsid w:val="00964B17"/>
    <w:rsid w:val="009650A8"/>
    <w:rsid w:val="009847E0"/>
    <w:rsid w:val="00984AD8"/>
    <w:rsid w:val="009852F7"/>
    <w:rsid w:val="00997C51"/>
    <w:rsid w:val="009A39AF"/>
    <w:rsid w:val="009A4F19"/>
    <w:rsid w:val="009A5201"/>
    <w:rsid w:val="009A7035"/>
    <w:rsid w:val="009B205D"/>
    <w:rsid w:val="009C4366"/>
    <w:rsid w:val="009E04F6"/>
    <w:rsid w:val="009F49B1"/>
    <w:rsid w:val="009F5E69"/>
    <w:rsid w:val="009F680C"/>
    <w:rsid w:val="00A064D7"/>
    <w:rsid w:val="00A11EC7"/>
    <w:rsid w:val="00A16533"/>
    <w:rsid w:val="00A2027E"/>
    <w:rsid w:val="00A22990"/>
    <w:rsid w:val="00A276D7"/>
    <w:rsid w:val="00A33A69"/>
    <w:rsid w:val="00A3606C"/>
    <w:rsid w:val="00A44F96"/>
    <w:rsid w:val="00A46C2A"/>
    <w:rsid w:val="00A56AA6"/>
    <w:rsid w:val="00A56E6D"/>
    <w:rsid w:val="00A63B54"/>
    <w:rsid w:val="00A65F12"/>
    <w:rsid w:val="00A72117"/>
    <w:rsid w:val="00A80D5B"/>
    <w:rsid w:val="00A855D3"/>
    <w:rsid w:val="00A91AED"/>
    <w:rsid w:val="00A938DB"/>
    <w:rsid w:val="00A968A5"/>
    <w:rsid w:val="00AA4AB5"/>
    <w:rsid w:val="00AB1543"/>
    <w:rsid w:val="00AB52AA"/>
    <w:rsid w:val="00AC175E"/>
    <w:rsid w:val="00AC18ED"/>
    <w:rsid w:val="00AC19BA"/>
    <w:rsid w:val="00AC68BC"/>
    <w:rsid w:val="00AF3D27"/>
    <w:rsid w:val="00AF6FB1"/>
    <w:rsid w:val="00B03C1E"/>
    <w:rsid w:val="00B148C0"/>
    <w:rsid w:val="00B15332"/>
    <w:rsid w:val="00B22C85"/>
    <w:rsid w:val="00B236AD"/>
    <w:rsid w:val="00B24E9C"/>
    <w:rsid w:val="00B25431"/>
    <w:rsid w:val="00B27573"/>
    <w:rsid w:val="00B37C0A"/>
    <w:rsid w:val="00B4430F"/>
    <w:rsid w:val="00B4674D"/>
    <w:rsid w:val="00B4742F"/>
    <w:rsid w:val="00B51E36"/>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C22E2"/>
    <w:rsid w:val="00BD4D65"/>
    <w:rsid w:val="00BE1A90"/>
    <w:rsid w:val="00BE3F60"/>
    <w:rsid w:val="00BF3D60"/>
    <w:rsid w:val="00BF58DB"/>
    <w:rsid w:val="00C0113C"/>
    <w:rsid w:val="00C032FD"/>
    <w:rsid w:val="00C116C7"/>
    <w:rsid w:val="00C13829"/>
    <w:rsid w:val="00C13FAF"/>
    <w:rsid w:val="00C21AD5"/>
    <w:rsid w:val="00C21ECC"/>
    <w:rsid w:val="00C26A62"/>
    <w:rsid w:val="00C3220A"/>
    <w:rsid w:val="00C36D3A"/>
    <w:rsid w:val="00C37595"/>
    <w:rsid w:val="00C43AAE"/>
    <w:rsid w:val="00C4446F"/>
    <w:rsid w:val="00C517ED"/>
    <w:rsid w:val="00C5470E"/>
    <w:rsid w:val="00C60F32"/>
    <w:rsid w:val="00C77557"/>
    <w:rsid w:val="00C818FA"/>
    <w:rsid w:val="00C81DA1"/>
    <w:rsid w:val="00CA279C"/>
    <w:rsid w:val="00CB4315"/>
    <w:rsid w:val="00CC4F79"/>
    <w:rsid w:val="00CD1D0C"/>
    <w:rsid w:val="00CD4A10"/>
    <w:rsid w:val="00CE11B3"/>
    <w:rsid w:val="00CE2C39"/>
    <w:rsid w:val="00CE3D40"/>
    <w:rsid w:val="00CE5C0D"/>
    <w:rsid w:val="00CE747B"/>
    <w:rsid w:val="00CF0440"/>
    <w:rsid w:val="00CF2402"/>
    <w:rsid w:val="00CF6CE4"/>
    <w:rsid w:val="00D05181"/>
    <w:rsid w:val="00D11874"/>
    <w:rsid w:val="00D222EE"/>
    <w:rsid w:val="00D2357D"/>
    <w:rsid w:val="00D4283A"/>
    <w:rsid w:val="00D4585C"/>
    <w:rsid w:val="00D478B9"/>
    <w:rsid w:val="00D522CA"/>
    <w:rsid w:val="00D52CF3"/>
    <w:rsid w:val="00D5302D"/>
    <w:rsid w:val="00D54011"/>
    <w:rsid w:val="00D554C9"/>
    <w:rsid w:val="00D61BD2"/>
    <w:rsid w:val="00D64D77"/>
    <w:rsid w:val="00D652BD"/>
    <w:rsid w:val="00D72D48"/>
    <w:rsid w:val="00D75ED0"/>
    <w:rsid w:val="00D77DD1"/>
    <w:rsid w:val="00D80C09"/>
    <w:rsid w:val="00D81433"/>
    <w:rsid w:val="00D82DEC"/>
    <w:rsid w:val="00D851E7"/>
    <w:rsid w:val="00D92E42"/>
    <w:rsid w:val="00D9347C"/>
    <w:rsid w:val="00D9704C"/>
    <w:rsid w:val="00D97A9F"/>
    <w:rsid w:val="00DA6DD1"/>
    <w:rsid w:val="00DA73E2"/>
    <w:rsid w:val="00DB2BE3"/>
    <w:rsid w:val="00DB41D3"/>
    <w:rsid w:val="00DB6756"/>
    <w:rsid w:val="00DB6C34"/>
    <w:rsid w:val="00DC2C34"/>
    <w:rsid w:val="00DD1C2A"/>
    <w:rsid w:val="00DD2A2B"/>
    <w:rsid w:val="00DD320A"/>
    <w:rsid w:val="00DE3D3B"/>
    <w:rsid w:val="00DF3A0A"/>
    <w:rsid w:val="00DF6BEA"/>
    <w:rsid w:val="00E01E1C"/>
    <w:rsid w:val="00E073FD"/>
    <w:rsid w:val="00E17100"/>
    <w:rsid w:val="00E22AFE"/>
    <w:rsid w:val="00E22C6D"/>
    <w:rsid w:val="00E230B9"/>
    <w:rsid w:val="00E31770"/>
    <w:rsid w:val="00E34795"/>
    <w:rsid w:val="00E34DC9"/>
    <w:rsid w:val="00E44384"/>
    <w:rsid w:val="00E55094"/>
    <w:rsid w:val="00E60F11"/>
    <w:rsid w:val="00E70C68"/>
    <w:rsid w:val="00E70D3F"/>
    <w:rsid w:val="00E7199D"/>
    <w:rsid w:val="00E74179"/>
    <w:rsid w:val="00E80307"/>
    <w:rsid w:val="00E83CB4"/>
    <w:rsid w:val="00E84287"/>
    <w:rsid w:val="00E84ABF"/>
    <w:rsid w:val="00E854C9"/>
    <w:rsid w:val="00E87B0B"/>
    <w:rsid w:val="00E92811"/>
    <w:rsid w:val="00E95DD2"/>
    <w:rsid w:val="00E96E83"/>
    <w:rsid w:val="00EA3D78"/>
    <w:rsid w:val="00EA75AF"/>
    <w:rsid w:val="00EC1568"/>
    <w:rsid w:val="00EC4372"/>
    <w:rsid w:val="00EC5D81"/>
    <w:rsid w:val="00ED0473"/>
    <w:rsid w:val="00ED724C"/>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4C38"/>
    <w:rsid w:val="00F553CF"/>
    <w:rsid w:val="00F6033B"/>
    <w:rsid w:val="00F81DBD"/>
    <w:rsid w:val="00F831FE"/>
    <w:rsid w:val="00F855B9"/>
    <w:rsid w:val="00F95545"/>
    <w:rsid w:val="00FA5FBB"/>
    <w:rsid w:val="00FA634C"/>
    <w:rsid w:val="00FA7503"/>
    <w:rsid w:val="00FB2E57"/>
    <w:rsid w:val="00FC2171"/>
    <w:rsid w:val="00FC4D5F"/>
    <w:rsid w:val="00FC6212"/>
    <w:rsid w:val="00FD00E4"/>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9BBF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43479-1524-436D-875E-E235078D8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12654</TotalTime>
  <Pages>7</Pages>
  <Words>1644</Words>
  <Characters>9371</Characters>
  <Application>Microsoft Office Word</Application>
  <DocSecurity>0</DocSecurity>
  <Lines>78</Lines>
  <Paragraphs>21</Paragraphs>
  <ScaleCrop>false</ScaleCrop>
  <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168</cp:revision>
  <dcterms:created xsi:type="dcterms:W3CDTF">2021-01-14T12:11:00Z</dcterms:created>
  <dcterms:modified xsi:type="dcterms:W3CDTF">2023-04-10T11:59:00Z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